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spacing w:before="163"/>
        <w:ind w:left="0" w:right="135" w:firstLine="0"/>
        <w:jc w:val="center"/>
        <w:rPr>
          <w:sz w:val="40"/>
        </w:rPr>
      </w:pPr>
      <w:r>
        <w:rPr>
          <w:sz w:val="40"/>
        </w:rPr>
        <w:t>招标人主体责任履行指引</w:t>
      </w:r>
    </w:p>
    <w:p>
      <w:pPr>
        <w:pStyle w:val="BodyText"/>
        <w:spacing w:before="6"/>
        <w:ind w:left="0"/>
        <w:rPr>
          <w:sz w:val="64"/>
        </w:rPr>
      </w:pPr>
    </w:p>
    <w:p>
      <w:pPr>
        <w:pStyle w:val="BodyText"/>
        <w:ind w:left="3552"/>
        <w:jc w:val="both"/>
      </w:pPr>
      <w:bookmarkStart w:name="第一章  总则" w:id="1"/>
      <w:bookmarkEnd w:id="1"/>
      <w:r>
        <w:rPr/>
      </w:r>
      <w:r>
        <w:rPr/>
        <w:t>第一章 总则</w:t>
      </w:r>
    </w:p>
    <w:p>
      <w:pPr>
        <w:pStyle w:val="BodyText"/>
        <w:spacing w:line="367" w:lineRule="auto" w:before="206"/>
        <w:ind w:right="252" w:firstLine="600"/>
        <w:jc w:val="both"/>
      </w:pPr>
      <w:r>
        <w:rPr>
          <w:spacing w:val="-3"/>
        </w:rPr>
        <w:t>第一条 为督促招标人落实主体责任，提高招标投标规范化科</w:t>
      </w:r>
      <w:r>
        <w:rPr>
          <w:spacing w:val="-6"/>
        </w:rPr>
        <w:t>学化水平，依据《中华人民共和国招标投标法》《中华人民共和国招标投标法实施条例》等相关法律法规，制定本指引。</w:t>
      </w:r>
    </w:p>
    <w:p>
      <w:pPr>
        <w:pStyle w:val="BodyText"/>
        <w:spacing w:line="367" w:lineRule="auto"/>
        <w:ind w:right="255" w:firstLine="600"/>
        <w:jc w:val="both"/>
      </w:pPr>
      <w:r>
        <w:rPr/>
        <w:t>第二条 全部或者部分使用国有资金投资或者国家融资项目的招标采购活动，适用本指引。</w:t>
      </w:r>
    </w:p>
    <w:p>
      <w:pPr>
        <w:pStyle w:val="BodyText"/>
        <w:spacing w:line="367" w:lineRule="auto"/>
        <w:ind w:right="255" w:firstLine="600"/>
        <w:jc w:val="both"/>
      </w:pPr>
      <w:r>
        <w:rPr>
          <w:spacing w:val="-3"/>
        </w:rPr>
        <w:t>第三条 招标人作为国有资金或者国家融资资金的使用者，对</w:t>
      </w:r>
      <w:r>
        <w:rPr/>
        <w:t>招标投标活动的科学性、合法性、廉洁性负主体责任。</w:t>
      </w:r>
    </w:p>
    <w:p>
      <w:pPr>
        <w:pStyle w:val="BodyText"/>
        <w:spacing w:line="367" w:lineRule="auto"/>
        <w:ind w:right="228" w:firstLine="600"/>
      </w:pPr>
      <w:r>
        <w:rPr>
          <w:spacing w:val="-1"/>
        </w:rPr>
        <w:t>招标人要建立招标投标事项研究决策、合规审查、监督纠错、</w:t>
      </w:r>
      <w:r>
        <w:rPr/>
        <w:t>绩效评价、风险防控等管理机制，保障主体责任落实。</w:t>
      </w:r>
    </w:p>
    <w:p>
      <w:pPr>
        <w:pStyle w:val="BodyText"/>
        <w:spacing w:line="367" w:lineRule="auto"/>
        <w:ind w:right="255" w:firstLine="600"/>
        <w:jc w:val="both"/>
      </w:pPr>
      <w:r>
        <w:rPr>
          <w:spacing w:val="-3"/>
        </w:rPr>
        <w:t>第四条 招标人要按照国家有关规定，在招标投标活动中落实</w:t>
      </w:r>
      <w:r>
        <w:rPr>
          <w:spacing w:val="-5"/>
        </w:rPr>
        <w:t>支持科技创新、节约能源资源、保护生态环境、促进中小企业发展</w:t>
      </w:r>
      <w:r>
        <w:rPr/>
        <w:t>等有利于实现国家经济和社会发展政策目标的要求。</w:t>
      </w:r>
    </w:p>
    <w:p>
      <w:pPr>
        <w:pStyle w:val="BodyText"/>
        <w:spacing w:line="367" w:lineRule="auto"/>
        <w:ind w:right="255" w:firstLine="600"/>
        <w:jc w:val="both"/>
      </w:pPr>
      <w:r>
        <w:rPr/>
        <w:t>第五条 招标人要根据招标工作需要配备专业人才力量，加强专业人员培养、考核、激励、监督，打造专业化招标队伍。</w:t>
      </w:r>
    </w:p>
    <w:p>
      <w:pPr>
        <w:pStyle w:val="BodyText"/>
        <w:spacing w:line="367" w:lineRule="auto"/>
        <w:ind w:right="255" w:firstLine="600"/>
        <w:jc w:val="both"/>
      </w:pPr>
      <w:r>
        <w:rPr>
          <w:spacing w:val="-3"/>
        </w:rPr>
        <w:t>第六条 招标人及其工作人员要严格执行本地区、本领域、本单位有关招标投标事项过问打探、插手干预登记报告制度，抵制各</w:t>
      </w:r>
      <w:r>
        <w:rPr>
          <w:spacing w:val="-4"/>
        </w:rPr>
        <w:t>类干预招标活动的做法。应当予以登记报告但未予登记报告的，依</w:t>
      </w:r>
      <w:r>
        <w:rPr/>
        <w:t>据本地区、本领域、本单位有关规定追究责任。</w:t>
      </w:r>
    </w:p>
    <w:p>
      <w:pPr>
        <w:spacing w:after="0" w:line="367" w:lineRule="auto"/>
        <w:jc w:val="both"/>
        <w:sectPr>
          <w:footerReference w:type="default" r:id="rId5"/>
          <w:footerReference w:type="even" r:id="rId6"/>
          <w:type w:val="continuous"/>
          <w:pgSz w:w="11910" w:h="16840"/>
          <w:pgMar w:footer="1607" w:top="1580" w:bottom="1800" w:left="1500" w:right="1360"/>
          <w:pgNumType w:start="1"/>
        </w:sectPr>
      </w:pPr>
    </w:p>
    <w:p>
      <w:pPr>
        <w:pStyle w:val="BodyText"/>
        <w:ind w:left="0"/>
        <w:rPr>
          <w:sz w:val="20"/>
        </w:rPr>
      </w:pPr>
    </w:p>
    <w:p>
      <w:pPr>
        <w:pStyle w:val="BodyText"/>
        <w:ind w:left="0"/>
        <w:rPr>
          <w:sz w:val="18"/>
        </w:rPr>
      </w:pPr>
    </w:p>
    <w:p>
      <w:pPr>
        <w:pStyle w:val="BodyText"/>
        <w:spacing w:before="69"/>
        <w:ind w:left="3252"/>
        <w:jc w:val="both"/>
      </w:pPr>
      <w:bookmarkStart w:name="第二章  标前工作" w:id="2"/>
      <w:bookmarkEnd w:id="2"/>
      <w:r>
        <w:rPr/>
      </w:r>
      <w:r>
        <w:rPr/>
        <w:t>第二章 标前工作</w:t>
      </w:r>
    </w:p>
    <w:p>
      <w:pPr>
        <w:pStyle w:val="BodyText"/>
        <w:spacing w:line="367" w:lineRule="auto" w:before="206"/>
        <w:ind w:right="255" w:firstLine="600"/>
        <w:jc w:val="both"/>
      </w:pPr>
      <w:r>
        <w:rPr>
          <w:spacing w:val="-6"/>
        </w:rPr>
        <w:t>第七条 对属于《必须招标的工程项目规定》</w:t>
      </w:r>
      <w:r>
        <w:rPr>
          <w:spacing w:val="4"/>
        </w:rPr>
        <w:t>（</w:t>
      </w:r>
      <w:r>
        <w:rPr>
          <w:spacing w:val="2"/>
        </w:rPr>
        <w:t>国家发展改革</w:t>
      </w:r>
      <w:r>
        <w:rPr>
          <w:spacing w:val="-24"/>
        </w:rPr>
        <w:t>委令 </w:t>
      </w:r>
      <w:r>
        <w:rPr>
          <w:rFonts w:ascii="Times New Roman" w:eastAsia="Times New Roman"/>
        </w:rPr>
        <w:t>2018 </w:t>
      </w:r>
      <w:r>
        <w:rPr>
          <w:spacing w:val="-26"/>
        </w:rPr>
        <w:t>年第 </w:t>
      </w:r>
      <w:r>
        <w:rPr>
          <w:rFonts w:ascii="Times New Roman" w:eastAsia="Times New Roman"/>
        </w:rPr>
        <w:t>16 </w:t>
      </w:r>
      <w:r>
        <w:rPr/>
        <w:t>号</w:t>
      </w:r>
      <w:r>
        <w:rPr>
          <w:spacing w:val="-12"/>
        </w:rPr>
        <w:t>）</w:t>
      </w:r>
      <w:r>
        <w:rPr>
          <w:spacing w:val="-3"/>
        </w:rPr>
        <w:t>规定范围和标准的项目，除符合法定例外情</w:t>
      </w:r>
      <w:r>
        <w:rPr>
          <w:spacing w:val="-5"/>
        </w:rPr>
        <w:t>形，招标人要通过招标方式选择工程的承包方或者有关货物、服务</w:t>
      </w:r>
      <w:r>
        <w:rPr/>
        <w:t>的供应商。</w:t>
      </w:r>
    </w:p>
    <w:p>
      <w:pPr>
        <w:pStyle w:val="BodyText"/>
        <w:spacing w:line="367" w:lineRule="auto"/>
        <w:ind w:right="255" w:firstLine="600"/>
        <w:jc w:val="both"/>
      </w:pPr>
      <w:r>
        <w:rPr>
          <w:spacing w:val="-5"/>
        </w:rPr>
        <w:t>第八条 属于《必须招标的工程项目规定》</w:t>
      </w:r>
      <w:r>
        <w:rPr>
          <w:spacing w:val="4"/>
        </w:rPr>
        <w:t>（</w:t>
      </w:r>
      <w:r>
        <w:rPr>
          <w:spacing w:val="2"/>
        </w:rPr>
        <w:t>国家发展改革委</w:t>
      </w:r>
      <w:r>
        <w:rPr>
          <w:spacing w:val="-37"/>
        </w:rPr>
        <w:t>令 </w:t>
      </w:r>
      <w:r>
        <w:rPr>
          <w:rFonts w:ascii="Times New Roman" w:eastAsia="Times New Roman"/>
        </w:rPr>
        <w:t>2018 </w:t>
      </w:r>
      <w:r>
        <w:rPr>
          <w:spacing w:val="-26"/>
        </w:rPr>
        <w:t>年第 </w:t>
      </w:r>
      <w:r>
        <w:rPr>
          <w:rFonts w:ascii="Times New Roman" w:eastAsia="Times New Roman"/>
        </w:rPr>
        <w:t>16 </w:t>
      </w:r>
      <w:r>
        <w:rPr/>
        <w:t>号</w:t>
      </w:r>
      <w:r>
        <w:rPr>
          <w:spacing w:val="-8"/>
        </w:rPr>
        <w:t>）</w:t>
      </w:r>
      <w:r>
        <w:rPr>
          <w:spacing w:val="-3"/>
        </w:rPr>
        <w:t>规定范围和标准的项目，存在下列情形的，依</w:t>
      </w:r>
      <w:r>
        <w:rPr/>
        <w:t>法可以不进行招标：</w:t>
      </w:r>
    </w:p>
    <w:p>
      <w:pPr>
        <w:pStyle w:val="BodyText"/>
        <w:spacing w:line="384" w:lineRule="exact"/>
        <w:ind w:left="715"/>
      </w:pPr>
      <w:r>
        <w:rPr/>
        <w:t>（一）涉及国家安全、国家秘密的；</w:t>
      </w:r>
    </w:p>
    <w:p>
      <w:pPr>
        <w:pStyle w:val="BodyText"/>
        <w:spacing w:before="203"/>
        <w:ind w:left="715"/>
      </w:pPr>
      <w:r>
        <w:rPr/>
        <w:t>（二）抢险救灾的；</w:t>
      </w:r>
    </w:p>
    <w:p>
      <w:pPr>
        <w:pStyle w:val="BodyText"/>
        <w:spacing w:before="204"/>
        <w:ind w:left="715"/>
      </w:pPr>
      <w:r>
        <w:rPr/>
        <w:t>（三）以工代赈、需要使用农民工的；</w:t>
      </w:r>
    </w:p>
    <w:p>
      <w:pPr>
        <w:pStyle w:val="BodyText"/>
        <w:spacing w:before="203"/>
        <w:ind w:left="715"/>
      </w:pPr>
      <w:r>
        <w:rPr/>
        <w:t>（四）需要采用不可替代的专利或者专有技术的；</w:t>
      </w:r>
    </w:p>
    <w:p>
      <w:pPr>
        <w:pStyle w:val="BodyText"/>
        <w:spacing w:line="367" w:lineRule="auto" w:before="204"/>
        <w:ind w:right="105" w:firstLine="600"/>
      </w:pPr>
      <w:r>
        <w:rPr/>
        <w:t>（五</w:t>
      </w:r>
      <w:r>
        <w:rPr>
          <w:spacing w:val="-87"/>
        </w:rPr>
        <w:t>）</w:t>
      </w:r>
      <w:r>
        <w:rPr>
          <w:spacing w:val="-30"/>
        </w:rPr>
        <w:t>采购人</w:t>
      </w:r>
      <w:r>
        <w:rPr/>
        <w:t>（含通过招标投标方式取得特许经营权的投资人</w:t>
      </w:r>
      <w:r>
        <w:rPr>
          <w:spacing w:val="-18"/>
        </w:rPr>
        <w:t>） </w:t>
      </w:r>
      <w:r>
        <w:rPr/>
        <w:t>依法能够自行建设、生产或者提供的；</w:t>
      </w:r>
    </w:p>
    <w:p>
      <w:pPr>
        <w:pStyle w:val="BodyText"/>
        <w:spacing w:line="367" w:lineRule="auto"/>
        <w:ind w:right="205" w:firstLine="600"/>
      </w:pPr>
      <w:r>
        <w:rPr/>
        <w:t>（六）需要向原中标人采购工程、货物或者服务，否则将影响施工或者功能配套要求的；</w:t>
      </w:r>
    </w:p>
    <w:p>
      <w:pPr>
        <w:pStyle w:val="BodyText"/>
        <w:spacing w:line="367" w:lineRule="auto"/>
        <w:ind w:right="255" w:firstLine="600"/>
      </w:pPr>
      <w:r>
        <w:rPr/>
        <w:t>（七</w:t>
      </w:r>
      <w:r>
        <w:rPr>
          <w:spacing w:val="-12"/>
        </w:rPr>
        <w:t>）</w:t>
      </w:r>
      <w:r>
        <w:rPr>
          <w:spacing w:val="-2"/>
        </w:rPr>
        <w:t>总承包企业分包或者采购的</w:t>
      </w:r>
      <w:r>
        <w:rPr/>
        <w:t>（</w:t>
      </w:r>
      <w:r>
        <w:rPr>
          <w:spacing w:val="-2"/>
        </w:rPr>
        <w:t>以暂估价形式包括在总承</w:t>
      </w:r>
      <w:r>
        <w:rPr/>
        <w:t>包范围内，且达到依法必须进行招标规模标准的情形除外</w:t>
      </w:r>
      <w:r>
        <w:rPr>
          <w:spacing w:val="-149"/>
        </w:rPr>
        <w:t>）</w:t>
      </w:r>
      <w:r>
        <w:rPr/>
        <w:t>；</w:t>
      </w:r>
    </w:p>
    <w:p>
      <w:pPr>
        <w:pStyle w:val="BodyText"/>
        <w:ind w:left="715"/>
      </w:pPr>
      <w:r>
        <w:rPr/>
        <w:t>（八）国家规定的其他不招标情形。</w:t>
      </w:r>
    </w:p>
    <w:p>
      <w:pPr>
        <w:pStyle w:val="BodyText"/>
        <w:spacing w:line="580" w:lineRule="atLeast" w:before="7"/>
        <w:ind w:right="255" w:firstLine="600"/>
        <w:jc w:val="both"/>
      </w:pPr>
      <w:r>
        <w:rPr>
          <w:spacing w:val="-5"/>
        </w:rPr>
        <w:t>对于存在前款所列情形的项目，按照《政府投资条例》和《企</w:t>
      </w:r>
      <w:r>
        <w:rPr>
          <w:spacing w:val="-4"/>
        </w:rPr>
        <w:t>业投资项目核准和备案管理条例》需要履行审批、核准手续的，项</w:t>
      </w:r>
      <w:r>
        <w:rPr>
          <w:spacing w:val="-3"/>
        </w:rPr>
        <w:t>目单位应当在提交项目可行性研究报告或者项目申请书时，就不招</w:t>
      </w:r>
    </w:p>
    <w:p>
      <w:pPr>
        <w:spacing w:after="0" w:line="580" w:lineRule="atLeast"/>
        <w:jc w:val="both"/>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before="59"/>
      </w:pPr>
      <w:r>
        <w:rPr/>
        <w:t>标的具体范围和事由作出说明。</w:t>
      </w:r>
    </w:p>
    <w:p>
      <w:pPr>
        <w:pStyle w:val="BodyText"/>
        <w:tabs>
          <w:tab w:pos="1915" w:val="left" w:leader="none"/>
        </w:tabs>
        <w:spacing w:line="367" w:lineRule="auto" w:before="204"/>
        <w:ind w:right="228" w:firstLine="600"/>
        <w:jc w:val="right"/>
      </w:pPr>
      <w:r>
        <w:rPr/>
        <w:t>第九条</w:t>
        <w:tab/>
        <w:t>对不属于依法必须进行招标范围的采购项目</w:t>
      </w:r>
      <w:r>
        <w:rPr>
          <w:spacing w:val="-27"/>
        </w:rPr>
        <w:t>，</w:t>
      </w:r>
      <w:r>
        <w:rPr/>
        <w:t>企业或者项目单位要结合项目技术特性</w:t>
      </w:r>
      <w:r>
        <w:rPr>
          <w:spacing w:val="-12"/>
        </w:rPr>
        <w:t>、</w:t>
      </w:r>
      <w:r>
        <w:rPr/>
        <w:t>同类项目历史交易情况</w:t>
      </w:r>
      <w:r>
        <w:rPr>
          <w:spacing w:val="-15"/>
        </w:rPr>
        <w:t>、</w:t>
      </w:r>
      <w:r>
        <w:rPr/>
        <w:t>潜在投标人的市场竞争情况等</w:t>
      </w:r>
      <w:r>
        <w:rPr>
          <w:spacing w:val="-8"/>
        </w:rPr>
        <w:t>，</w:t>
      </w:r>
      <w:r>
        <w:rPr/>
        <w:t>综合考虑招标的成本</w:t>
      </w:r>
      <w:r>
        <w:rPr>
          <w:spacing w:val="-5"/>
        </w:rPr>
        <w:t>、</w:t>
      </w:r>
      <w:r>
        <w:rPr/>
        <w:t>效率</w:t>
      </w:r>
      <w:r>
        <w:rPr>
          <w:spacing w:val="-8"/>
        </w:rPr>
        <w:t>、</w:t>
      </w:r>
      <w:r>
        <w:rPr/>
        <w:t>效益</w:t>
      </w:r>
      <w:r>
        <w:rPr>
          <w:spacing w:val="-8"/>
        </w:rPr>
        <w:t>，</w:t>
      </w:r>
      <w:r>
        <w:rPr/>
        <w:t>科学确定是否招标</w:t>
      </w:r>
      <w:r>
        <w:rPr>
          <w:spacing w:val="-12"/>
        </w:rPr>
        <w:t>。</w:t>
      </w:r>
      <w:r>
        <w:rPr/>
        <w:t>对于招标成本高或者无法进行有效竞争的项目</w:t>
      </w:r>
      <w:r>
        <w:rPr>
          <w:spacing w:val="-15"/>
        </w:rPr>
        <w:t>，</w:t>
      </w:r>
      <w:r>
        <w:rPr/>
        <w:t>原则上不进行招标</w:t>
      </w:r>
      <w:r>
        <w:rPr>
          <w:spacing w:val="-12"/>
        </w:rPr>
        <w:t>。</w:t>
      </w:r>
      <w:r>
        <w:rPr/>
        <w:t>对于不招标的项目</w:t>
      </w:r>
      <w:r>
        <w:rPr>
          <w:spacing w:val="-15"/>
        </w:rPr>
        <w:t>，</w:t>
      </w:r>
      <w:r>
        <w:rPr/>
        <w:t>企业或者项目单位可以选择询比采购、竞价采购、谈判采购、直接采购等方式开展采购活动</w:t>
      </w:r>
      <w:r>
        <w:rPr>
          <w:spacing w:val="-17"/>
        </w:rPr>
        <w:t>。</w:t>
      </w:r>
      <w:r>
        <w:rPr/>
        <w:t>企业或者项目单位可以结合实际</w:t>
      </w:r>
      <w:r>
        <w:rPr>
          <w:spacing w:val="-27"/>
        </w:rPr>
        <w:t>，</w:t>
      </w:r>
      <w:r>
        <w:rPr/>
        <w:t>对于不招标的项目类别和标</w:t>
      </w:r>
    </w:p>
    <w:p>
      <w:pPr>
        <w:pStyle w:val="BodyText"/>
        <w:spacing w:line="384" w:lineRule="exact"/>
      </w:pPr>
      <w:r>
        <w:rPr/>
        <w:t>准，作出具体规定。</w:t>
      </w:r>
    </w:p>
    <w:p>
      <w:pPr>
        <w:pStyle w:val="BodyText"/>
        <w:spacing w:line="367" w:lineRule="auto" w:before="203"/>
        <w:ind w:right="255" w:firstLine="600"/>
        <w:jc w:val="both"/>
      </w:pPr>
      <w:r>
        <w:rPr>
          <w:spacing w:val="-3"/>
        </w:rPr>
        <w:t>第十条 对于确定要进行招标的项目，招标人应当通过市场调</w:t>
      </w:r>
      <w:r>
        <w:rPr>
          <w:spacing w:val="-7"/>
        </w:rPr>
        <w:t>研、咨询论证等方式，明确招标需求，策划招标方案，确定招标工</w:t>
      </w:r>
      <w:r>
        <w:rPr>
          <w:spacing w:val="-6"/>
        </w:rPr>
        <w:t>作进度安排、标段划分、技术和商务要求、招标绩效评价、内部监</w:t>
      </w:r>
      <w:r>
        <w:rPr/>
        <w:t>管机制等事项。</w:t>
      </w:r>
    </w:p>
    <w:p>
      <w:pPr>
        <w:pStyle w:val="BodyText"/>
        <w:tabs>
          <w:tab w:pos="2215" w:val="left" w:leader="none"/>
        </w:tabs>
        <w:spacing w:line="367" w:lineRule="auto"/>
        <w:ind w:right="105" w:firstLine="600"/>
      </w:pPr>
      <w:r>
        <w:rPr/>
        <w:t>第十一条</w:t>
        <w:tab/>
        <w:t>对于同类型</w:t>
      </w:r>
      <w:r>
        <w:rPr>
          <w:spacing w:val="-12"/>
        </w:rPr>
        <w:t>、</w:t>
      </w:r>
      <w:r>
        <w:rPr/>
        <w:t>重复性招标项目</w:t>
      </w:r>
      <w:r>
        <w:rPr>
          <w:spacing w:val="-15"/>
        </w:rPr>
        <w:t>，</w:t>
      </w:r>
      <w:r>
        <w:rPr/>
        <w:t>招标人可以结合项目实际</w:t>
      </w:r>
      <w:r>
        <w:rPr>
          <w:spacing w:val="-58"/>
        </w:rPr>
        <w:t>，</w:t>
      </w:r>
      <w:r>
        <w:rPr/>
        <w:t>采用框架协议招标</w:t>
      </w:r>
      <w:r>
        <w:rPr>
          <w:spacing w:val="-60"/>
        </w:rPr>
        <w:t>、</w:t>
      </w:r>
      <w:r>
        <w:rPr/>
        <w:t>集中招标等方式实施</w:t>
      </w:r>
      <w:r>
        <w:rPr>
          <w:spacing w:val="-58"/>
        </w:rPr>
        <w:t>，</w:t>
      </w:r>
      <w:r>
        <w:rPr/>
        <w:t>提高组织效率</w:t>
      </w:r>
      <w:r>
        <w:rPr>
          <w:spacing w:val="-18"/>
        </w:rPr>
        <w:t>， </w:t>
      </w:r>
      <w:r>
        <w:rPr/>
        <w:t>降低招标成本。</w:t>
      </w:r>
    </w:p>
    <w:p>
      <w:pPr>
        <w:pStyle w:val="BodyText"/>
        <w:tabs>
          <w:tab w:pos="2215" w:val="left" w:leader="none"/>
        </w:tabs>
        <w:spacing w:line="367" w:lineRule="auto"/>
        <w:ind w:right="228" w:firstLine="600"/>
      </w:pPr>
      <w:r>
        <w:rPr/>
        <w:t>第十二条</w:t>
        <w:tab/>
        <w:t>招标人要加强内设机构管理，强化监督制约机制</w:t>
      </w:r>
      <w:r>
        <w:rPr>
          <w:spacing w:val="-17"/>
        </w:rPr>
        <w:t>， </w:t>
      </w:r>
      <w:r>
        <w:rPr/>
        <w:t>不得以内设机构、临时机构的名义对外开展招标活动。</w:t>
      </w:r>
    </w:p>
    <w:p>
      <w:pPr>
        <w:pStyle w:val="BodyText"/>
        <w:spacing w:before="8"/>
        <w:ind w:left="0"/>
        <w:rPr>
          <w:sz w:val="45"/>
        </w:rPr>
      </w:pPr>
    </w:p>
    <w:p>
      <w:pPr>
        <w:pStyle w:val="BodyText"/>
        <w:tabs>
          <w:tab w:pos="4303" w:val="left" w:leader="none"/>
        </w:tabs>
        <w:ind w:left="3103"/>
      </w:pPr>
      <w:bookmarkStart w:name="第三章  招标和投标" w:id="3"/>
      <w:bookmarkEnd w:id="3"/>
      <w:r>
        <w:rPr/>
      </w:r>
      <w:r>
        <w:rPr/>
        <w:t>第三章</w:t>
        <w:tab/>
        <w:t>招标和投标</w:t>
      </w:r>
    </w:p>
    <w:p>
      <w:pPr>
        <w:pStyle w:val="BodyText"/>
        <w:tabs>
          <w:tab w:pos="2243" w:val="left" w:leader="none"/>
        </w:tabs>
        <w:spacing w:line="590" w:lineRule="atLeast" w:before="1"/>
        <w:ind w:right="252" w:firstLine="600"/>
      </w:pPr>
      <w:r>
        <w:rPr>
          <w:spacing w:val="4"/>
        </w:rPr>
        <w:t>第十三</w:t>
      </w:r>
      <w:r>
        <w:rPr/>
        <w:t>条</w:t>
        <w:tab/>
      </w:r>
      <w:r>
        <w:rPr>
          <w:spacing w:val="4"/>
        </w:rPr>
        <w:t>招标人要根</w:t>
      </w:r>
      <w:r>
        <w:rPr>
          <w:spacing w:val="2"/>
        </w:rPr>
        <w:t>据</w:t>
      </w:r>
      <w:r>
        <w:rPr>
          <w:spacing w:val="4"/>
        </w:rPr>
        <w:t>标准招标文件（示范文</w:t>
      </w:r>
      <w:r>
        <w:rPr>
          <w:spacing w:val="2"/>
        </w:rPr>
        <w:t>本</w:t>
      </w:r>
      <w:r>
        <w:rPr>
          <w:spacing w:val="-144"/>
        </w:rPr>
        <w:t>）</w:t>
      </w:r>
      <w:r>
        <w:rPr>
          <w:spacing w:val="4"/>
        </w:rPr>
        <w:t>，按照</w:t>
      </w:r>
      <w:r>
        <w:rPr/>
        <w:t>招标方案</w:t>
      </w:r>
      <w:r>
        <w:rPr>
          <w:spacing w:val="-8"/>
        </w:rPr>
        <w:t>，</w:t>
      </w:r>
      <w:r>
        <w:rPr/>
        <w:t>高质量编制招标文件</w:t>
      </w:r>
      <w:r>
        <w:rPr>
          <w:spacing w:val="-10"/>
        </w:rPr>
        <w:t>，</w:t>
      </w:r>
      <w:r>
        <w:rPr/>
        <w:t>明确招标项目的技术要求</w:t>
      </w:r>
      <w:r>
        <w:rPr>
          <w:spacing w:val="-10"/>
        </w:rPr>
        <w:t>、</w:t>
      </w:r>
      <w:r>
        <w:rPr/>
        <w:t>资格</w:t>
      </w:r>
      <w:r>
        <w:rPr>
          <w:spacing w:val="-12"/>
        </w:rPr>
        <w:t>审</w:t>
      </w:r>
    </w:p>
    <w:p>
      <w:pPr>
        <w:spacing w:after="0" w:line="590" w:lineRule="atLeast"/>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line="367" w:lineRule="auto" w:before="59"/>
        <w:ind w:right="205"/>
      </w:pPr>
      <w:r>
        <w:rPr/>
        <w:t>查标准、投标报价要求、评标标准、定标方式以及拟签订合同的主要条款等事项。</w:t>
      </w:r>
    </w:p>
    <w:p>
      <w:pPr>
        <w:pStyle w:val="BodyText"/>
        <w:spacing w:line="367" w:lineRule="auto"/>
        <w:ind w:right="255" w:firstLine="600"/>
        <w:jc w:val="both"/>
      </w:pPr>
      <w:r>
        <w:rPr>
          <w:spacing w:val="-3"/>
        </w:rPr>
        <w:t>招标人要建立招标文件合规审查机制，组织力量对招标文件是</w:t>
      </w:r>
      <w:r>
        <w:rPr>
          <w:spacing w:val="-4"/>
        </w:rPr>
        <w:t>否符合国家强制性标准、是否存在排斥限制潜在投标人情形、资格</w:t>
      </w:r>
      <w:r>
        <w:rPr>
          <w:spacing w:val="-3"/>
        </w:rPr>
        <w:t>审查标准和评标标准是否科学合理等进行审查，确保招标文件合法</w:t>
      </w:r>
      <w:r>
        <w:rPr/>
        <w:t>合规、科学合理、符合需求。</w:t>
      </w:r>
    </w:p>
    <w:p>
      <w:pPr>
        <w:pStyle w:val="BodyText"/>
        <w:spacing w:line="367" w:lineRule="auto"/>
        <w:ind w:right="255" w:firstLine="600"/>
        <w:jc w:val="both"/>
      </w:pPr>
      <w:r>
        <w:rPr>
          <w:spacing w:val="-3"/>
        </w:rPr>
        <w:t>第十四条 招标人要综合考虑招标项目的技术、质量、安全等</w:t>
      </w:r>
      <w:r>
        <w:rPr>
          <w:spacing w:val="-6"/>
        </w:rPr>
        <w:t>因素和项目建设、使用、维护、拆除、更新等全周期综合成本，科</w:t>
      </w:r>
      <w:r>
        <w:rPr/>
        <w:t>学选择评标方法。</w:t>
      </w:r>
    </w:p>
    <w:p>
      <w:pPr>
        <w:pStyle w:val="BodyText"/>
        <w:spacing w:line="367" w:lineRule="auto"/>
        <w:ind w:right="205" w:firstLine="600"/>
      </w:pPr>
      <w:r>
        <w:rPr/>
        <w:t>对于具有一定技术复杂性、质量要求高的招标项目，招标人应当采用综合评估法，并合理确定价格权重。</w:t>
      </w:r>
    </w:p>
    <w:p>
      <w:pPr>
        <w:pStyle w:val="BodyText"/>
        <w:spacing w:line="367" w:lineRule="auto"/>
        <w:ind w:right="255" w:firstLine="600"/>
        <w:jc w:val="both"/>
      </w:pPr>
      <w:r>
        <w:rPr>
          <w:spacing w:val="-4"/>
        </w:rPr>
        <w:t>对于供应充足、潜在投标人竞争比较激烈的招标项目，招标人要在招标文件中明确判断“可能低于成本或者影响履约的异常低价</w:t>
      </w:r>
      <w:r>
        <w:rPr/>
        <w:t>投标”的标准和评标委员会的处理程序。</w:t>
      </w:r>
    </w:p>
    <w:p>
      <w:pPr>
        <w:pStyle w:val="BodyText"/>
        <w:spacing w:line="367" w:lineRule="auto"/>
        <w:ind w:right="255" w:firstLine="600"/>
        <w:jc w:val="both"/>
      </w:pPr>
      <w:r>
        <w:rPr>
          <w:spacing w:val="-3"/>
        </w:rPr>
        <w:t>对于需要由中标人继续长期提供运维、更新、升级等服务的项</w:t>
      </w:r>
      <w:r>
        <w:rPr>
          <w:spacing w:val="-5"/>
        </w:rPr>
        <w:t>目，招标人应当要求投标人结合全周期综合成本进行报价，不得仅</w:t>
      </w:r>
      <w:r>
        <w:rPr/>
        <w:t>就个别产品或者服务进行报价。</w:t>
      </w:r>
    </w:p>
    <w:p>
      <w:pPr>
        <w:pStyle w:val="BodyText"/>
        <w:spacing w:line="367" w:lineRule="auto"/>
        <w:ind w:right="255" w:firstLine="600"/>
        <w:jc w:val="both"/>
      </w:pPr>
      <w:r>
        <w:rPr/>
        <w:t>第十五条 招标人应当根据项目特点和合规管理需要，结合下列情况，在招标文件中明确拟进行重点核查的异常投标情形：</w:t>
      </w:r>
    </w:p>
    <w:p>
      <w:pPr>
        <w:pStyle w:val="BodyText"/>
        <w:ind w:left="715"/>
      </w:pPr>
      <w:r>
        <w:rPr/>
        <w:t>（一）法律法规规定视为串通投标的情形；</w:t>
      </w:r>
    </w:p>
    <w:p>
      <w:pPr>
        <w:pStyle w:val="BodyText"/>
        <w:spacing w:before="202"/>
        <w:ind w:left="715"/>
      </w:pPr>
      <w:r>
        <w:rPr/>
        <w:t>（二）投标文件异常一致；</w:t>
      </w:r>
    </w:p>
    <w:p>
      <w:pPr>
        <w:pStyle w:val="BodyText"/>
        <w:spacing w:before="203"/>
        <w:ind w:left="715"/>
      </w:pPr>
      <w:r>
        <w:rPr/>
        <w:t>（三）投标活动异常关联；</w:t>
      </w:r>
    </w:p>
    <w:p>
      <w:pPr>
        <w:spacing w:after="0"/>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line="367" w:lineRule="auto" w:before="59"/>
        <w:ind w:right="255" w:firstLine="600"/>
        <w:jc w:val="both"/>
      </w:pPr>
      <w:r>
        <w:rPr/>
        <w:t>（四</w:t>
      </w:r>
      <w:r>
        <w:rPr>
          <w:spacing w:val="-5"/>
        </w:rPr>
        <w:t>）</w:t>
      </w:r>
      <w:r>
        <w:rPr>
          <w:spacing w:val="-6"/>
        </w:rPr>
        <w:t>通过受让、租借、挂靠资质投标，伪造、变造资质、资</w:t>
      </w:r>
      <w:r>
        <w:rPr>
          <w:spacing w:val="-4"/>
        </w:rPr>
        <w:t>格证书或者其他许可证件，提供虚假业绩、奖项、项目负责人等材</w:t>
      </w:r>
      <w:r>
        <w:rPr/>
        <w:t>料。</w:t>
      </w:r>
    </w:p>
    <w:p>
      <w:pPr>
        <w:pStyle w:val="BodyText"/>
        <w:spacing w:line="367" w:lineRule="auto"/>
        <w:ind w:right="105" w:firstLine="600"/>
      </w:pPr>
      <w:r>
        <w:rPr>
          <w:spacing w:val="4"/>
        </w:rPr>
        <w:t>招标人在招标文件中设置前款第（二</w:t>
      </w:r>
      <w:r>
        <w:rPr>
          <w:spacing w:val="-144"/>
        </w:rPr>
        <w:t>）</w:t>
      </w:r>
      <w:r>
        <w:rPr>
          <w:spacing w:val="4"/>
        </w:rPr>
        <w:t>（三）</w:t>
      </w:r>
      <w:r>
        <w:rPr>
          <w:spacing w:val="3"/>
        </w:rPr>
        <w:t>项的具体情形，</w:t>
      </w:r>
      <w:r>
        <w:rPr>
          <w:spacing w:val="-9"/>
        </w:rPr>
        <w:t>应当允许投标人向评标委员会、招标人作出解释说明。评标委员会、</w:t>
      </w:r>
      <w:r>
        <w:rPr/>
        <w:t>招标人经核查发现投标人存在串通投标、弄虚作假等违法行为的， 按照法律法规规定进行处理。</w:t>
      </w:r>
    </w:p>
    <w:p>
      <w:pPr>
        <w:pStyle w:val="BodyText"/>
        <w:spacing w:line="367" w:lineRule="auto"/>
        <w:ind w:right="205" w:firstLine="600"/>
      </w:pPr>
      <w:r>
        <w:rPr/>
        <w:t>招标人可以在招标文件中，将投标人出现第一款所列异常投标情形的，列入不予退还投标保证金的情形。</w:t>
      </w:r>
    </w:p>
    <w:p>
      <w:pPr>
        <w:pStyle w:val="BodyText"/>
        <w:spacing w:line="367" w:lineRule="auto"/>
        <w:ind w:right="255" w:firstLine="600"/>
        <w:jc w:val="both"/>
      </w:pPr>
      <w:r>
        <w:rPr>
          <w:spacing w:val="-3"/>
        </w:rPr>
        <w:t>第十六条 招标人要结合项目特点和需求，以月度、季度或者年度为周期发布招标计划，载明招标项目概况、投标人主要资格条</w:t>
      </w:r>
      <w:r>
        <w:rPr>
          <w:spacing w:val="-5"/>
        </w:rPr>
        <w:t>件等信息，供潜在投标人知悉和进行投标准备。因不可预见的紧急</w:t>
      </w:r>
      <w:r>
        <w:rPr/>
        <w:t>情况实施招标的除外。</w:t>
      </w:r>
    </w:p>
    <w:p>
      <w:pPr>
        <w:pStyle w:val="BodyText"/>
        <w:spacing w:line="367" w:lineRule="auto"/>
        <w:ind w:right="205" w:firstLine="600"/>
      </w:pPr>
      <w:r>
        <w:rPr/>
        <w:t>对于涉及公共利益、社会关注度较高的项目，鼓励招标人提前公示招标文件。</w:t>
      </w:r>
    </w:p>
    <w:p>
      <w:pPr>
        <w:pStyle w:val="BodyText"/>
        <w:spacing w:line="367" w:lineRule="auto"/>
        <w:ind w:right="255" w:firstLine="600"/>
        <w:jc w:val="both"/>
      </w:pPr>
      <w:r>
        <w:rPr>
          <w:spacing w:val="-3"/>
        </w:rPr>
        <w:t>第十七条 招标人委托招标代理机构组织开展招标活动的，要</w:t>
      </w:r>
      <w:r>
        <w:rPr>
          <w:spacing w:val="8"/>
        </w:rPr>
        <w:t>在委托代理合同中，明确招标代理机构及其从业人员开展业务权</w:t>
      </w:r>
      <w:r>
        <w:rPr>
          <w:spacing w:val="-5"/>
        </w:rPr>
        <w:t>限、范围和行为规范，并针对招标代理机构违规行为明确约定具体</w:t>
      </w:r>
      <w:r>
        <w:rPr/>
        <w:t>的解约条件和违约责任。</w:t>
      </w:r>
    </w:p>
    <w:p>
      <w:pPr>
        <w:pStyle w:val="BodyText"/>
        <w:spacing w:line="367" w:lineRule="auto"/>
        <w:ind w:right="205" w:firstLine="600"/>
      </w:pPr>
      <w:r>
        <w:rPr/>
        <w:t>招标人要对招标代理机构开展业务进行全过程监督，督促招标代理机构依法合规开展业务。</w:t>
      </w:r>
    </w:p>
    <w:p>
      <w:pPr>
        <w:pStyle w:val="BodyText"/>
        <w:tabs>
          <w:tab w:pos="2279" w:val="left" w:leader="none"/>
        </w:tabs>
        <w:ind w:left="715"/>
      </w:pPr>
      <w:r>
        <w:rPr>
          <w:spacing w:val="9"/>
        </w:rPr>
        <w:t>第</w:t>
      </w:r>
      <w:r>
        <w:rPr>
          <w:spacing w:val="12"/>
        </w:rPr>
        <w:t>十</w:t>
      </w:r>
      <w:r>
        <w:rPr>
          <w:spacing w:val="9"/>
        </w:rPr>
        <w:t>八</w:t>
      </w:r>
      <w:r>
        <w:rPr/>
        <w:t>条</w:t>
        <w:tab/>
      </w:r>
      <w:r>
        <w:rPr>
          <w:spacing w:val="9"/>
        </w:rPr>
        <w:t>潜</w:t>
      </w:r>
      <w:r>
        <w:rPr>
          <w:spacing w:val="12"/>
        </w:rPr>
        <w:t>在</w:t>
      </w:r>
      <w:r>
        <w:rPr>
          <w:spacing w:val="9"/>
        </w:rPr>
        <w:t>投</w:t>
      </w:r>
      <w:r>
        <w:rPr>
          <w:spacing w:val="12"/>
        </w:rPr>
        <w:t>标</w:t>
      </w:r>
      <w:r>
        <w:rPr>
          <w:spacing w:val="9"/>
        </w:rPr>
        <w:t>人和</w:t>
      </w:r>
      <w:r>
        <w:rPr>
          <w:spacing w:val="12"/>
        </w:rPr>
        <w:t>其</w:t>
      </w:r>
      <w:r>
        <w:rPr>
          <w:spacing w:val="9"/>
        </w:rPr>
        <w:t>他</w:t>
      </w:r>
      <w:r>
        <w:rPr>
          <w:spacing w:val="12"/>
        </w:rPr>
        <w:t>利</w:t>
      </w:r>
      <w:r>
        <w:rPr>
          <w:spacing w:val="9"/>
        </w:rPr>
        <w:t>害关</w:t>
      </w:r>
      <w:r>
        <w:rPr>
          <w:spacing w:val="12"/>
        </w:rPr>
        <w:t>系</w:t>
      </w:r>
      <w:r>
        <w:rPr>
          <w:spacing w:val="9"/>
        </w:rPr>
        <w:t>人对</w:t>
      </w:r>
      <w:r>
        <w:rPr>
          <w:spacing w:val="12"/>
        </w:rPr>
        <w:t>招</w:t>
      </w:r>
      <w:r>
        <w:rPr>
          <w:spacing w:val="9"/>
        </w:rPr>
        <w:t>标</w:t>
      </w:r>
      <w:r>
        <w:rPr>
          <w:spacing w:val="12"/>
        </w:rPr>
        <w:t>文</w:t>
      </w:r>
      <w:r>
        <w:rPr>
          <w:spacing w:val="9"/>
        </w:rPr>
        <w:t>件内</w:t>
      </w:r>
      <w:r>
        <w:rPr>
          <w:spacing w:val="12"/>
        </w:rPr>
        <w:t>容</w:t>
      </w:r>
      <w:r>
        <w:rPr/>
        <w:t>提</w:t>
      </w:r>
    </w:p>
    <w:p>
      <w:pPr>
        <w:spacing w:after="0"/>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line="367" w:lineRule="auto" w:before="59"/>
        <w:ind w:right="255"/>
        <w:jc w:val="both"/>
      </w:pPr>
      <w:r>
        <w:rPr>
          <w:spacing w:val="-5"/>
        </w:rPr>
        <w:t>出异议的，招标人要组织力量进行核实处理。招标文件确存在表述不清、排斥限制竞争或者其他违法违规情形的，招标人要及时修改</w:t>
      </w:r>
      <w:r>
        <w:rPr>
          <w:spacing w:val="8"/>
        </w:rPr>
        <w:t>完善招标文件，并以书面形式通知所有获取招标文件的潜在投标人。</w:t>
      </w:r>
    </w:p>
    <w:p>
      <w:pPr>
        <w:pStyle w:val="BodyText"/>
        <w:spacing w:line="367" w:lineRule="auto"/>
        <w:ind w:right="255" w:firstLine="600"/>
        <w:jc w:val="both"/>
      </w:pPr>
      <w:r>
        <w:rPr>
          <w:spacing w:val="-3"/>
        </w:rPr>
        <w:t>招标人委托招标代理机构处理异议的，应当对招标代理机构处</w:t>
      </w:r>
      <w:r>
        <w:rPr>
          <w:spacing w:val="-4"/>
        </w:rPr>
        <w:t>理异议的事实情况、法律依据和处理结论进行审核，并对处理结果</w:t>
      </w:r>
      <w:r>
        <w:rPr/>
        <w:t>负责。</w:t>
      </w:r>
    </w:p>
    <w:p>
      <w:pPr>
        <w:pStyle w:val="BodyText"/>
        <w:spacing w:line="367" w:lineRule="auto"/>
        <w:ind w:right="228" w:firstLine="600"/>
        <w:jc w:val="both"/>
      </w:pPr>
      <w:r>
        <w:rPr/>
        <w:t>第十九条 投标人以保函（保险）等形式提交投标保证金的， 招标人要对保函（保险）的真实性有效性进行核验。保函（保险） 真实性有效性不足的，招标人应当拒收投标文件，或者由评标委员会依法否决该投标。</w:t>
      </w:r>
    </w:p>
    <w:p>
      <w:pPr>
        <w:pStyle w:val="BodyText"/>
        <w:spacing w:line="367" w:lineRule="auto"/>
        <w:ind w:right="205" w:firstLine="600"/>
      </w:pPr>
      <w:r>
        <w:rPr/>
        <w:t>招标人可以在招标文件中，规定核验保函（保险）真实性有效性的具体方法。</w:t>
      </w:r>
    </w:p>
    <w:p>
      <w:pPr>
        <w:pStyle w:val="BodyText"/>
        <w:spacing w:line="367" w:lineRule="auto"/>
        <w:ind w:right="255" w:firstLine="600"/>
        <w:jc w:val="both"/>
      </w:pPr>
      <w:r>
        <w:rPr>
          <w:spacing w:val="4"/>
        </w:rPr>
        <w:t>招标人违法限制投标人使用保函（保险</w:t>
      </w:r>
      <w:r>
        <w:rPr>
          <w:spacing w:val="-147"/>
        </w:rPr>
        <w:t>）</w:t>
      </w:r>
      <w:r>
        <w:rPr>
          <w:spacing w:val="3"/>
        </w:rPr>
        <w:t>，或者对已经出具真</w:t>
      </w:r>
      <w:r>
        <w:rPr/>
        <w:t>实有效保函（保险</w:t>
      </w:r>
      <w:r>
        <w:rPr>
          <w:spacing w:val="-10"/>
        </w:rPr>
        <w:t>）</w:t>
      </w:r>
      <w:r>
        <w:rPr>
          <w:spacing w:val="-2"/>
        </w:rPr>
        <w:t>的投标人违法拒收投标文件的，由有关行政监</w:t>
      </w:r>
      <w:r>
        <w:rPr>
          <w:spacing w:val="-5"/>
        </w:rPr>
        <w:t>督部门按照《中华人民共和国招标投标法》有关排斥限制潜在投标</w:t>
      </w:r>
      <w:r>
        <w:rPr/>
        <w:t>人的规定予以处罚。</w:t>
      </w:r>
    </w:p>
    <w:p>
      <w:pPr>
        <w:pStyle w:val="BodyText"/>
        <w:spacing w:before="7"/>
        <w:ind w:left="0"/>
        <w:rPr>
          <w:sz w:val="45"/>
        </w:rPr>
      </w:pPr>
    </w:p>
    <w:p>
      <w:pPr>
        <w:pStyle w:val="BodyText"/>
        <w:ind w:left="2803"/>
        <w:jc w:val="both"/>
      </w:pPr>
      <w:bookmarkStart w:name="第四章  组织开标和评标" w:id="4"/>
      <w:bookmarkEnd w:id="4"/>
      <w:r>
        <w:rPr/>
      </w:r>
      <w:r>
        <w:rPr/>
        <w:t>第四章 组织开标和评标</w:t>
      </w:r>
    </w:p>
    <w:p>
      <w:pPr>
        <w:pStyle w:val="BodyText"/>
        <w:spacing w:line="580" w:lineRule="atLeast" w:before="11"/>
        <w:ind w:right="255" w:firstLine="600"/>
        <w:jc w:val="both"/>
      </w:pPr>
      <w:r>
        <w:rPr>
          <w:spacing w:val="-5"/>
        </w:rPr>
        <w:t>第二十条 开标时，招标人要安排投标人或者其推选的代表检</w:t>
      </w:r>
      <w:r>
        <w:rPr>
          <w:spacing w:val="-3"/>
        </w:rPr>
        <w:t>查投标文件的密封或者保密情况，也可以由招标人委托的公证机构</w:t>
      </w:r>
      <w:r>
        <w:rPr>
          <w:spacing w:val="-5"/>
        </w:rPr>
        <w:t>检查并公证；经确认无误后，由工作人员拆封或者解密，公布投标</w:t>
      </w:r>
    </w:p>
    <w:p>
      <w:pPr>
        <w:spacing w:after="0" w:line="580" w:lineRule="atLeast"/>
        <w:jc w:val="both"/>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before="59"/>
      </w:pPr>
      <w:r>
        <w:rPr/>
        <w:t>人名称、投标价格和投标文件的其他主要内容。</w:t>
      </w:r>
    </w:p>
    <w:p>
      <w:pPr>
        <w:pStyle w:val="BodyText"/>
        <w:tabs>
          <w:tab w:pos="2515" w:val="left" w:leader="none"/>
        </w:tabs>
        <w:spacing w:line="367" w:lineRule="auto" w:before="204"/>
        <w:ind w:right="255" w:firstLine="600"/>
      </w:pPr>
      <w:r>
        <w:rPr/>
        <w:t>第二十一条</w:t>
        <w:tab/>
        <w:t>投标人在开标过程中提出异议的</w:t>
      </w:r>
      <w:r>
        <w:rPr>
          <w:spacing w:val="-27"/>
        </w:rPr>
        <w:t>，</w:t>
      </w:r>
      <w:r>
        <w:rPr/>
        <w:t>招标人要当</w:t>
      </w:r>
      <w:r>
        <w:rPr>
          <w:spacing w:val="-17"/>
        </w:rPr>
        <w:t>场</w:t>
      </w:r>
      <w:r>
        <w:rPr/>
        <w:t>作出答复，并制作记录。</w:t>
      </w:r>
    </w:p>
    <w:p>
      <w:pPr>
        <w:pStyle w:val="BodyText"/>
        <w:ind w:left="715"/>
      </w:pPr>
      <w:r>
        <w:rPr/>
        <w:t>招标人要全程记录开标过程，并在开标一览表上签字确认。</w:t>
      </w:r>
    </w:p>
    <w:p>
      <w:pPr>
        <w:pStyle w:val="BodyText"/>
        <w:spacing w:line="367" w:lineRule="auto" w:before="203"/>
        <w:ind w:right="255" w:firstLine="600"/>
        <w:jc w:val="both"/>
      </w:pPr>
      <w:r>
        <w:rPr/>
        <w:t>第二十二条 招标人要积极应用远程异地评标、智能辅助评标，减少评标环节的人为干预。</w:t>
      </w:r>
    </w:p>
    <w:p>
      <w:pPr>
        <w:pStyle w:val="BodyText"/>
        <w:spacing w:line="367" w:lineRule="auto"/>
        <w:ind w:right="255" w:firstLine="600"/>
        <w:jc w:val="both"/>
      </w:pPr>
      <w:r>
        <w:rPr>
          <w:spacing w:val="-3"/>
        </w:rPr>
        <w:t>第二十三条 招标人要选派熟悉项目情况、掌握招标投标法律</w:t>
      </w:r>
      <w:r>
        <w:rPr>
          <w:spacing w:val="-5"/>
        </w:rPr>
        <w:t>法规、能够熟练运用电子评标工具的人员作为招标人代表，参与资</w:t>
      </w:r>
      <w:r>
        <w:rPr/>
        <w:t>格预审和评标工作。</w:t>
      </w:r>
    </w:p>
    <w:p>
      <w:pPr>
        <w:pStyle w:val="BodyText"/>
        <w:spacing w:line="384" w:lineRule="exact"/>
        <w:ind w:left="715"/>
      </w:pPr>
      <w:r>
        <w:rPr/>
        <w:t>与投标人存在利害关系的人员，不得选派为招标人代表。</w:t>
      </w:r>
    </w:p>
    <w:p>
      <w:pPr>
        <w:pStyle w:val="BodyText"/>
        <w:spacing w:line="367" w:lineRule="auto" w:before="204"/>
        <w:ind w:right="255" w:firstLine="600"/>
        <w:jc w:val="both"/>
      </w:pPr>
      <w:r>
        <w:rPr>
          <w:spacing w:val="-3"/>
        </w:rPr>
        <w:t>第二十四条 招标人要督促招标人代表认真做好评标准备，仔细研读资格预审文件和招标文件，充分掌握其中的资格审查和评标</w:t>
      </w:r>
      <w:r>
        <w:rPr>
          <w:spacing w:val="8"/>
        </w:rPr>
        <w:t>标准、可能低于成本或者影响履约的异常低价投标的识别处理要求、否决投标的情形和判定方式等。</w:t>
      </w:r>
    </w:p>
    <w:p>
      <w:pPr>
        <w:pStyle w:val="BodyText"/>
        <w:spacing w:line="384" w:lineRule="exact"/>
        <w:ind w:left="715"/>
      </w:pPr>
      <w:r>
        <w:rPr/>
        <w:t>招标人代表在评标过程中，应当履行下列职责：</w:t>
      </w:r>
    </w:p>
    <w:p>
      <w:pPr>
        <w:pStyle w:val="BodyText"/>
        <w:spacing w:before="203"/>
        <w:ind w:left="715"/>
      </w:pPr>
      <w:r>
        <w:rPr/>
        <w:t>（一）公正独立地对投标文件进行评审和比较；</w:t>
      </w:r>
    </w:p>
    <w:p>
      <w:pPr>
        <w:pStyle w:val="BodyText"/>
        <w:spacing w:line="367" w:lineRule="auto" w:before="204"/>
        <w:ind w:right="228" w:firstLine="600"/>
        <w:jc w:val="both"/>
      </w:pPr>
      <w:r>
        <w:rPr/>
        <w:t>（二）发现评标专家存在发表倾向性意见、进行诱导性发言、不按招标文件规定的评标标准和方法评标等违规行为的，要予以提醒、劝阻，做好记录并向评标专家库组建单位和有关行政监督部门报告；</w:t>
      </w:r>
    </w:p>
    <w:p>
      <w:pPr>
        <w:pStyle w:val="BodyText"/>
        <w:spacing w:line="384" w:lineRule="exact"/>
        <w:ind w:left="715"/>
      </w:pPr>
      <w:r>
        <w:rPr/>
        <w:t>（三</w:t>
      </w:r>
      <w:r>
        <w:rPr>
          <w:spacing w:val="-87"/>
        </w:rPr>
        <w:t>）</w:t>
      </w:r>
      <w:r>
        <w:rPr>
          <w:spacing w:val="-9"/>
        </w:rPr>
        <w:t>发现投标人报价异常的，应当提议评标委员会进行研究，</w:t>
      </w:r>
    </w:p>
    <w:p>
      <w:pPr>
        <w:pStyle w:val="BodyText"/>
        <w:spacing w:before="203"/>
      </w:pPr>
      <w:r>
        <w:rPr/>
        <w:t>要求该投标人作出说明并提供相关证明材料；投标人不能合理说</w:t>
      </w:r>
    </w:p>
    <w:p>
      <w:pPr>
        <w:spacing w:after="0"/>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before="59"/>
      </w:pPr>
      <w:r>
        <w:rPr/>
        <w:t>明、证明的，应当提出否决该投标的评标意见；</w:t>
      </w:r>
    </w:p>
    <w:p>
      <w:pPr>
        <w:pStyle w:val="BodyText"/>
        <w:spacing w:line="367" w:lineRule="auto" w:before="204"/>
        <w:ind w:right="255" w:firstLine="600"/>
        <w:jc w:val="both"/>
      </w:pPr>
      <w:r>
        <w:rPr/>
        <w:t>（四</w:t>
      </w:r>
      <w:r>
        <w:rPr>
          <w:spacing w:val="-8"/>
        </w:rPr>
        <w:t>）</w:t>
      </w:r>
      <w:r>
        <w:rPr>
          <w:spacing w:val="-3"/>
        </w:rPr>
        <w:t>发现投标人存在业绩造假、资质伪造、围标串标或者其</w:t>
      </w:r>
      <w:r>
        <w:rPr>
          <w:spacing w:val="-5"/>
        </w:rPr>
        <w:t>他违法嫌疑的，要提议评标委员会按照法律法规和招标文件规定进行处理；达到招标文件规定的否决投标标准的，应当提出否决该投</w:t>
      </w:r>
      <w:r>
        <w:rPr/>
        <w:t>标的评标意见；</w:t>
      </w:r>
    </w:p>
    <w:p>
      <w:pPr>
        <w:pStyle w:val="BodyText"/>
        <w:spacing w:line="384" w:lineRule="exact"/>
        <w:ind w:left="715"/>
      </w:pPr>
      <w:r>
        <w:rPr/>
        <w:t>（五）其他招标人代表应当履行的职责。</w:t>
      </w:r>
    </w:p>
    <w:p>
      <w:pPr>
        <w:pStyle w:val="BodyText"/>
        <w:ind w:left="0"/>
        <w:rPr>
          <w:sz w:val="32"/>
        </w:rPr>
      </w:pPr>
    </w:p>
    <w:p>
      <w:pPr>
        <w:pStyle w:val="BodyText"/>
        <w:spacing w:before="7"/>
        <w:ind w:left="0"/>
        <w:rPr>
          <w:sz w:val="29"/>
        </w:rPr>
      </w:pPr>
    </w:p>
    <w:p>
      <w:pPr>
        <w:pStyle w:val="BodyText"/>
        <w:ind w:left="3552"/>
        <w:jc w:val="both"/>
      </w:pPr>
      <w:bookmarkStart w:name="第五章  定标" w:id="5"/>
      <w:bookmarkEnd w:id="5"/>
      <w:r>
        <w:rPr/>
      </w:r>
      <w:r>
        <w:rPr/>
        <w:t>第五章 定标</w:t>
      </w:r>
    </w:p>
    <w:p>
      <w:pPr>
        <w:pStyle w:val="BodyText"/>
        <w:spacing w:line="367" w:lineRule="auto" w:before="206"/>
        <w:ind w:right="255" w:firstLine="600"/>
        <w:jc w:val="both"/>
      </w:pPr>
      <w:r>
        <w:rPr>
          <w:spacing w:val="-3"/>
        </w:rPr>
        <w:t>第二十五条 招标人在公示中标候选人前，要认真审查评标委员会提交的书面评标报告。发现存在下列异常情形的，应当要求评</w:t>
      </w:r>
      <w:r>
        <w:rPr>
          <w:spacing w:val="-4"/>
        </w:rPr>
        <w:t>标委员会进行复核；确认存在问题的，应当要求评标委员会进行纠</w:t>
      </w:r>
      <w:r>
        <w:rPr/>
        <w:t>正：</w:t>
      </w:r>
    </w:p>
    <w:p>
      <w:pPr>
        <w:pStyle w:val="BodyText"/>
        <w:spacing w:line="367" w:lineRule="auto"/>
        <w:ind w:right="205" w:firstLine="600"/>
      </w:pPr>
      <w:r>
        <w:rPr/>
        <w:t>（一）评标委员会未按照招标文件规定的评标标准和方法进行评标；</w:t>
      </w:r>
    </w:p>
    <w:p>
      <w:pPr>
        <w:pStyle w:val="BodyText"/>
        <w:spacing w:line="367" w:lineRule="auto"/>
        <w:ind w:right="205" w:firstLine="600"/>
      </w:pPr>
      <w:r>
        <w:rPr/>
        <w:t>（二）评标委员会对客观评审因素评分不一致，评分畸高、畸低，或者计算错误；</w:t>
      </w:r>
    </w:p>
    <w:p>
      <w:pPr>
        <w:pStyle w:val="BodyText"/>
        <w:spacing w:line="367" w:lineRule="auto"/>
        <w:ind w:right="205" w:firstLine="600"/>
      </w:pPr>
      <w:r>
        <w:rPr/>
        <w:t>（三）评标委员会未对可能低于成本或者影响履约的异常低价投标和严重不平衡报价进行分析研判；</w:t>
      </w:r>
    </w:p>
    <w:p>
      <w:pPr>
        <w:pStyle w:val="BodyText"/>
        <w:ind w:left="715"/>
      </w:pPr>
      <w:r>
        <w:rPr/>
        <w:t>（四）评标委员会未依法通知投标人进行澄清、说明；</w:t>
      </w:r>
    </w:p>
    <w:p>
      <w:pPr>
        <w:pStyle w:val="BodyText"/>
        <w:spacing w:line="367" w:lineRule="auto" w:before="203"/>
        <w:ind w:right="205" w:firstLine="600"/>
      </w:pPr>
      <w:r>
        <w:rPr/>
        <w:t>（五）评标委员会对应当否决的投标未予否决，或者存在随意否决投标的情况；</w:t>
      </w:r>
    </w:p>
    <w:p>
      <w:pPr>
        <w:pStyle w:val="BodyText"/>
        <w:ind w:left="715"/>
      </w:pPr>
      <w:r>
        <w:rPr/>
        <w:t>（六）其他评标委员会不客观不公正履行评标职责的情形。</w:t>
      </w:r>
    </w:p>
    <w:p>
      <w:pPr>
        <w:spacing w:after="0"/>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line="367" w:lineRule="auto" w:before="59"/>
        <w:ind w:right="255" w:firstLine="600"/>
        <w:jc w:val="both"/>
      </w:pPr>
      <w:r>
        <w:rPr>
          <w:spacing w:val="-3"/>
        </w:rPr>
        <w:t>招标人发现评标委员会成员存在违法情形、依法应当给予行政</w:t>
      </w:r>
      <w:r>
        <w:rPr>
          <w:spacing w:val="-5"/>
        </w:rPr>
        <w:t>处罚的，应当向有关行政监督部门报告，并积极配合相关部门调查</w:t>
      </w:r>
      <w:r>
        <w:rPr/>
        <w:t>取证。</w:t>
      </w:r>
    </w:p>
    <w:p>
      <w:pPr>
        <w:pStyle w:val="BodyText"/>
        <w:spacing w:line="384" w:lineRule="exact"/>
        <w:ind w:left="715"/>
        <w:jc w:val="both"/>
      </w:pPr>
      <w:r>
        <w:rPr/>
        <w:t>第二十六条 招标人对定标负主体责任。</w:t>
      </w:r>
    </w:p>
    <w:p>
      <w:pPr>
        <w:pStyle w:val="BodyText"/>
        <w:spacing w:line="367" w:lineRule="auto" w:before="204"/>
        <w:ind w:right="255" w:firstLine="600"/>
        <w:jc w:val="both"/>
      </w:pPr>
      <w:r>
        <w:rPr>
          <w:spacing w:val="-3"/>
        </w:rPr>
        <w:t>招标人应当从评标委员会推荐的中标候选人范围内，按照法律法规规定和招标文件明确的定标要素及优先顺序，自主研究确定中</w:t>
      </w:r>
      <w:r>
        <w:rPr/>
        <w:t>标人。</w:t>
      </w:r>
    </w:p>
    <w:p>
      <w:pPr>
        <w:pStyle w:val="BodyText"/>
        <w:spacing w:line="384" w:lineRule="exact"/>
        <w:ind w:left="715"/>
      </w:pPr>
      <w:r>
        <w:rPr/>
        <w:t>招标人要对定标活动实行全过程记录和可追溯管理。</w:t>
      </w:r>
    </w:p>
    <w:p>
      <w:pPr>
        <w:pStyle w:val="BodyText"/>
        <w:tabs>
          <w:tab w:pos="2515" w:val="left" w:leader="none"/>
        </w:tabs>
        <w:spacing w:line="367" w:lineRule="auto" w:before="203"/>
        <w:ind w:right="228" w:firstLine="600"/>
      </w:pPr>
      <w:r>
        <w:rPr/>
        <w:t>第二十七条</w:t>
        <w:tab/>
        <w:t>招标人在定标过程中，对中标候选人组织核验</w:t>
      </w:r>
      <w:r>
        <w:rPr>
          <w:spacing w:val="-17"/>
        </w:rPr>
        <w:t>， </w:t>
      </w:r>
      <w:r>
        <w:rPr/>
        <w:t>发现存在下列情形的，不得确定其为中标人：</w:t>
      </w:r>
    </w:p>
    <w:p>
      <w:pPr>
        <w:pStyle w:val="BodyText"/>
        <w:spacing w:line="367" w:lineRule="auto"/>
        <w:ind w:right="205" w:firstLine="600"/>
      </w:pPr>
      <w:r>
        <w:rPr/>
        <w:t>（一）存在弄虚作假、围标串标等违法情形，不符合中标条件的；</w:t>
      </w:r>
    </w:p>
    <w:p>
      <w:pPr>
        <w:pStyle w:val="BodyText"/>
        <w:spacing w:line="367" w:lineRule="auto"/>
        <w:ind w:right="205" w:firstLine="600"/>
      </w:pPr>
      <w:r>
        <w:rPr/>
        <w:t>（二）资质、业绩、人员资格、信用、财务状况、生产条件等不符合中标条件的；</w:t>
      </w:r>
    </w:p>
    <w:p>
      <w:pPr>
        <w:pStyle w:val="BodyText"/>
        <w:spacing w:line="367" w:lineRule="auto"/>
        <w:ind w:right="205" w:firstLine="600"/>
      </w:pPr>
      <w:r>
        <w:rPr/>
        <w:t>（三）因经营、财务状况发生较大变化，可能影响其履约能力的；</w:t>
      </w:r>
    </w:p>
    <w:p>
      <w:pPr>
        <w:pStyle w:val="BodyText"/>
        <w:ind w:left="715"/>
      </w:pPr>
      <w:r>
        <w:rPr/>
        <w:t>（四）不按照招标文件要求提交履约保证金的。</w:t>
      </w:r>
    </w:p>
    <w:p>
      <w:pPr>
        <w:pStyle w:val="BodyText"/>
        <w:spacing w:line="580" w:lineRule="atLeast" w:before="8"/>
        <w:ind w:right="255" w:firstLine="600"/>
        <w:jc w:val="both"/>
      </w:pPr>
      <w:r>
        <w:rPr>
          <w:spacing w:val="4"/>
        </w:rPr>
        <w:t>招标人认为中标候选人存在前款第（一</w:t>
      </w:r>
      <w:r>
        <w:rPr>
          <w:spacing w:val="-147"/>
        </w:rPr>
        <w:t>）</w:t>
      </w:r>
      <w:r>
        <w:rPr>
          <w:spacing w:val="4"/>
        </w:rPr>
        <w:t>（四）</w:t>
      </w:r>
      <w:r>
        <w:rPr>
          <w:spacing w:val="3"/>
        </w:rPr>
        <w:t>项情形的，在</w:t>
      </w:r>
      <w:r>
        <w:rPr>
          <w:spacing w:val="-2"/>
        </w:rPr>
        <w:t>充分核验事实情况后，有权按照法律法规和招标文件规定确定其他</w:t>
      </w:r>
      <w:r>
        <w:rPr>
          <w:spacing w:val="-4"/>
        </w:rPr>
        <w:t>中标候选人为中标人，也可以重新招标。招标人发现中标候选人存在违法情形、依法应当给予行政处罚的，应当向有关行政监督部门</w:t>
      </w:r>
      <w:r>
        <w:rPr/>
        <w:t>报告，并积极配合相关部门调查取证。</w:t>
      </w:r>
    </w:p>
    <w:p>
      <w:pPr>
        <w:spacing w:after="0" w:line="580" w:lineRule="atLeast"/>
        <w:jc w:val="both"/>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line="367" w:lineRule="auto" w:before="59"/>
        <w:ind w:right="255" w:firstLine="600"/>
      </w:pPr>
      <w:r>
        <w:rPr>
          <w:spacing w:val="4"/>
        </w:rPr>
        <w:t>招标人认为中标候选人存在第一款第（二</w:t>
      </w:r>
      <w:r>
        <w:rPr>
          <w:spacing w:val="-147"/>
        </w:rPr>
        <w:t>）</w:t>
      </w:r>
      <w:r>
        <w:rPr>
          <w:spacing w:val="4"/>
        </w:rPr>
        <w:t>（三）</w:t>
      </w:r>
      <w:r>
        <w:rPr>
          <w:spacing w:val="3"/>
        </w:rPr>
        <w:t>项情形的，应当由原评标委员会按照招标文件规定的标准和方法审查确认。</w:t>
      </w:r>
    </w:p>
    <w:p>
      <w:pPr>
        <w:pStyle w:val="BodyText"/>
        <w:tabs>
          <w:tab w:pos="2515" w:val="left" w:leader="none"/>
        </w:tabs>
        <w:spacing w:line="367" w:lineRule="auto"/>
        <w:ind w:right="255" w:firstLine="600"/>
      </w:pPr>
      <w:r>
        <w:rPr/>
        <w:t>第二十八条</w:t>
        <w:tab/>
        <w:t>中标候选人公示期间</w:t>
      </w:r>
      <w:r>
        <w:rPr>
          <w:spacing w:val="-27"/>
        </w:rPr>
        <w:t>，</w:t>
      </w:r>
      <w:r>
        <w:rPr/>
        <w:t>投标人或者其他利害关</w:t>
      </w:r>
      <w:r>
        <w:rPr>
          <w:spacing w:val="-17"/>
        </w:rPr>
        <w:t>系</w:t>
      </w:r>
      <w:r>
        <w:rPr/>
        <w:t>人提出异议的，招标人要按下列方式处理：</w:t>
      </w:r>
    </w:p>
    <w:p>
      <w:pPr>
        <w:pStyle w:val="BodyText"/>
        <w:spacing w:line="367" w:lineRule="auto"/>
        <w:ind w:right="205" w:firstLine="600"/>
      </w:pPr>
      <w:r>
        <w:rPr/>
        <w:t>（一）反映评标委员会存在本指引第二十五条所列情形的，招标人应当要求评标委员会进行复核纠正；</w:t>
      </w:r>
    </w:p>
    <w:p>
      <w:pPr>
        <w:pStyle w:val="BodyText"/>
        <w:spacing w:line="367" w:lineRule="auto"/>
        <w:ind w:right="205" w:firstLine="600"/>
      </w:pPr>
      <w:r>
        <w:rPr/>
        <w:t>（二）反映中标候选人存在本指引第二十七条第一款所列情形的，招标人应当按照第二十七条第二、三款规定处理。</w:t>
      </w:r>
    </w:p>
    <w:p>
      <w:pPr>
        <w:pStyle w:val="BodyText"/>
        <w:spacing w:line="367" w:lineRule="auto"/>
        <w:ind w:right="255" w:firstLine="600"/>
        <w:jc w:val="both"/>
      </w:pPr>
      <w:r>
        <w:rPr>
          <w:spacing w:val="-3"/>
        </w:rPr>
        <w:t>招标人要在规定时限内将处理结果书面答复异议人，作出答复</w:t>
      </w:r>
      <w:r>
        <w:rPr>
          <w:spacing w:val="-6"/>
        </w:rPr>
        <w:t>前，应当暂停招标投标活动。异议人对答复内容不服，仍然以同一</w:t>
      </w:r>
      <w:r>
        <w:rPr>
          <w:spacing w:val="-4"/>
        </w:rPr>
        <w:t>事实和理由提出异议的，应当明确告知不再受理，并告知异议人可</w:t>
      </w:r>
      <w:r>
        <w:rPr/>
        <w:t>以依法向有关行政监督部门投诉。</w:t>
      </w:r>
    </w:p>
    <w:p>
      <w:pPr>
        <w:pStyle w:val="BodyText"/>
        <w:spacing w:line="367" w:lineRule="auto"/>
        <w:ind w:right="255" w:firstLine="600"/>
        <w:jc w:val="both"/>
      </w:pPr>
      <w:r>
        <w:rPr>
          <w:spacing w:val="8"/>
        </w:rPr>
        <w:t>第二十九条 依法必须进行招标的项目，招标人要在定标环</w:t>
      </w:r>
      <w:r>
        <w:rPr>
          <w:spacing w:val="-4"/>
        </w:rPr>
        <w:t>节，对招标投标活动的全过程公平性进行全面自查，并随招标投标</w:t>
      </w:r>
      <w:r>
        <w:rPr/>
        <w:t>情况书面报告一并提交有关行政监督部门。</w:t>
      </w:r>
    </w:p>
    <w:p>
      <w:pPr>
        <w:pStyle w:val="BodyText"/>
        <w:spacing w:line="367" w:lineRule="auto"/>
        <w:ind w:right="205" w:firstLine="600"/>
      </w:pPr>
      <w:r>
        <w:rPr/>
        <w:t>行政监督部门通过随机抽查、受理投诉等方式，加强中标结果公平性审查。</w:t>
      </w:r>
    </w:p>
    <w:p>
      <w:pPr>
        <w:pStyle w:val="BodyText"/>
        <w:tabs>
          <w:tab w:pos="2215" w:val="left" w:leader="none"/>
        </w:tabs>
        <w:spacing w:line="367" w:lineRule="auto"/>
        <w:ind w:right="255" w:firstLine="600"/>
      </w:pPr>
      <w:r>
        <w:rPr/>
        <w:t>第三十条</w:t>
        <w:tab/>
        <w:t>中标结果确定后</w:t>
      </w:r>
      <w:r>
        <w:rPr>
          <w:spacing w:val="-27"/>
        </w:rPr>
        <w:t>，</w:t>
      </w:r>
      <w:r>
        <w:rPr/>
        <w:t>招标人要配合评标专家库组建</w:t>
      </w:r>
      <w:r>
        <w:rPr>
          <w:spacing w:val="-17"/>
        </w:rPr>
        <w:t>单</w:t>
      </w:r>
      <w:r>
        <w:rPr/>
        <w:t>位，对评标专家履职情况进行评价。</w:t>
      </w:r>
    </w:p>
    <w:p>
      <w:pPr>
        <w:pStyle w:val="BodyText"/>
        <w:spacing w:before="7"/>
        <w:ind w:left="0"/>
        <w:rPr>
          <w:sz w:val="45"/>
        </w:rPr>
      </w:pPr>
    </w:p>
    <w:p>
      <w:pPr>
        <w:pStyle w:val="BodyText"/>
        <w:tabs>
          <w:tab w:pos="1199" w:val="left" w:leader="none"/>
        </w:tabs>
        <w:ind w:left="0" w:right="141"/>
        <w:jc w:val="center"/>
      </w:pPr>
      <w:bookmarkStart w:name="第六章  履约管理" w:id="6"/>
      <w:bookmarkEnd w:id="6"/>
      <w:r>
        <w:rPr/>
      </w:r>
      <w:r>
        <w:rPr/>
        <w:t>第六章</w:t>
        <w:tab/>
        <w:t>履约管理</w:t>
      </w:r>
    </w:p>
    <w:p>
      <w:pPr>
        <w:pStyle w:val="BodyText"/>
        <w:tabs>
          <w:tab w:pos="2589" w:val="left" w:leader="none"/>
        </w:tabs>
        <w:spacing w:before="206"/>
        <w:ind w:left="715"/>
      </w:pPr>
      <w:r>
        <w:rPr>
          <w:spacing w:val="9"/>
        </w:rPr>
        <w:t>第</w:t>
      </w:r>
      <w:r>
        <w:rPr>
          <w:spacing w:val="12"/>
        </w:rPr>
        <w:t>三</w:t>
      </w:r>
      <w:r>
        <w:rPr>
          <w:spacing w:val="9"/>
        </w:rPr>
        <w:t>十</w:t>
      </w:r>
      <w:r>
        <w:rPr>
          <w:spacing w:val="12"/>
        </w:rPr>
        <w:t>一</w:t>
      </w:r>
      <w:r>
        <w:rPr/>
        <w:t>条</w:t>
        <w:tab/>
      </w:r>
      <w:r>
        <w:rPr>
          <w:spacing w:val="9"/>
        </w:rPr>
        <w:t>招</w:t>
      </w:r>
      <w:r>
        <w:rPr>
          <w:spacing w:val="12"/>
        </w:rPr>
        <w:t>标</w:t>
      </w:r>
      <w:r>
        <w:rPr>
          <w:spacing w:val="9"/>
        </w:rPr>
        <w:t>人</w:t>
      </w:r>
      <w:r>
        <w:rPr>
          <w:spacing w:val="12"/>
        </w:rPr>
        <w:t>在</w:t>
      </w:r>
      <w:r>
        <w:rPr>
          <w:spacing w:val="9"/>
        </w:rPr>
        <w:t>招标</w:t>
      </w:r>
      <w:r>
        <w:rPr>
          <w:spacing w:val="12"/>
        </w:rPr>
        <w:t>文</w:t>
      </w:r>
      <w:r>
        <w:rPr>
          <w:spacing w:val="9"/>
        </w:rPr>
        <w:t>件</w:t>
      </w:r>
      <w:r>
        <w:rPr>
          <w:spacing w:val="12"/>
        </w:rPr>
        <w:t>中</w:t>
      </w:r>
      <w:r>
        <w:rPr>
          <w:spacing w:val="9"/>
        </w:rPr>
        <w:t>要求</w:t>
      </w:r>
      <w:r>
        <w:rPr>
          <w:spacing w:val="12"/>
        </w:rPr>
        <w:t>中</w:t>
      </w:r>
      <w:r>
        <w:rPr>
          <w:spacing w:val="9"/>
        </w:rPr>
        <w:t>标人</w:t>
      </w:r>
      <w:r>
        <w:rPr>
          <w:spacing w:val="12"/>
        </w:rPr>
        <w:t>提</w:t>
      </w:r>
      <w:r>
        <w:rPr>
          <w:spacing w:val="9"/>
        </w:rPr>
        <w:t>交</w:t>
      </w:r>
      <w:r>
        <w:rPr>
          <w:spacing w:val="12"/>
        </w:rPr>
        <w:t>履</w:t>
      </w:r>
      <w:r>
        <w:rPr>
          <w:spacing w:val="9"/>
        </w:rPr>
        <w:t>约保</w:t>
      </w:r>
      <w:r>
        <w:rPr/>
        <w:t>证</w:t>
      </w:r>
    </w:p>
    <w:p>
      <w:pPr>
        <w:spacing w:after="0"/>
        <w:sectPr>
          <w:footerReference w:type="even" r:id="rId7"/>
          <w:footerReference w:type="default" r:id="rId8"/>
          <w:pgSz w:w="11910" w:h="16840"/>
          <w:pgMar w:footer="1607" w:header="0" w:top="1580" w:bottom="1800" w:left="1500" w:right="1360"/>
          <w:pgNumType w:start="10"/>
        </w:sectPr>
      </w:pPr>
    </w:p>
    <w:p>
      <w:pPr>
        <w:pStyle w:val="BodyText"/>
        <w:ind w:left="0"/>
        <w:rPr>
          <w:sz w:val="20"/>
        </w:rPr>
      </w:pPr>
    </w:p>
    <w:p>
      <w:pPr>
        <w:pStyle w:val="BodyText"/>
        <w:spacing w:before="12"/>
        <w:ind w:left="0"/>
        <w:rPr>
          <w:sz w:val="18"/>
        </w:rPr>
      </w:pPr>
    </w:p>
    <w:p>
      <w:pPr>
        <w:pStyle w:val="BodyText"/>
        <w:spacing w:before="59"/>
      </w:pPr>
      <w:r>
        <w:rPr/>
        <w:t>金的，应当督促中标人及时足额提交履约保证金。</w:t>
      </w:r>
    </w:p>
    <w:p>
      <w:pPr>
        <w:pStyle w:val="BodyText"/>
        <w:tabs>
          <w:tab w:pos="2515" w:val="left" w:leader="none"/>
        </w:tabs>
        <w:spacing w:line="367" w:lineRule="auto" w:before="204"/>
        <w:ind w:right="255" w:firstLine="600"/>
      </w:pPr>
      <w:r>
        <w:rPr/>
        <w:t>第三十二条</w:t>
        <w:tab/>
        <w:t>中标合同签订后</w:t>
      </w:r>
      <w:r>
        <w:rPr>
          <w:spacing w:val="-27"/>
        </w:rPr>
        <w:t>，</w:t>
      </w:r>
      <w:r>
        <w:rPr/>
        <w:t>招标人要对中标人履约情况</w:t>
      </w:r>
      <w:r>
        <w:rPr>
          <w:spacing w:val="-17"/>
        </w:rPr>
        <w:t>进</w:t>
      </w:r>
      <w:r>
        <w:rPr/>
        <w:t>行跟踪督促，重点关注下列内容：</w:t>
      </w:r>
    </w:p>
    <w:p>
      <w:pPr>
        <w:pStyle w:val="BodyText"/>
        <w:ind w:left="715"/>
      </w:pPr>
      <w:r>
        <w:rPr/>
        <w:t>（一）主要人员到岗履职情况；</w:t>
      </w:r>
    </w:p>
    <w:p>
      <w:pPr>
        <w:pStyle w:val="BodyText"/>
        <w:spacing w:before="203"/>
        <w:ind w:left="715"/>
      </w:pPr>
      <w:r>
        <w:rPr/>
        <w:t>（二）劳务、专业和工程分包情况；</w:t>
      </w:r>
    </w:p>
    <w:p>
      <w:pPr>
        <w:pStyle w:val="BodyText"/>
        <w:spacing w:before="204"/>
        <w:ind w:left="715"/>
      </w:pPr>
      <w:r>
        <w:rPr/>
        <w:t>（三）合同变更情况；</w:t>
      </w:r>
    </w:p>
    <w:p>
      <w:pPr>
        <w:pStyle w:val="BodyText"/>
        <w:spacing w:before="203"/>
        <w:ind w:left="715"/>
      </w:pPr>
      <w:r>
        <w:rPr/>
        <w:t>（四</w:t>
      </w:r>
      <w:r>
        <w:rPr>
          <w:spacing w:val="-44"/>
        </w:rPr>
        <w:t>）</w:t>
      </w:r>
      <w:r>
        <w:rPr>
          <w:spacing w:val="-10"/>
        </w:rPr>
        <w:t>对合同约定的工程内容、进度、质量、安全等落实情况；</w:t>
      </w:r>
    </w:p>
    <w:p>
      <w:pPr>
        <w:pStyle w:val="BodyText"/>
        <w:spacing w:before="204"/>
        <w:ind w:left="715"/>
      </w:pPr>
      <w:r>
        <w:rPr/>
        <w:t>（五）其他合同履行中的重要情况。</w:t>
      </w:r>
    </w:p>
    <w:p>
      <w:pPr>
        <w:pStyle w:val="BodyText"/>
        <w:spacing w:line="367" w:lineRule="auto" w:before="204"/>
        <w:ind w:right="255" w:firstLine="600"/>
        <w:jc w:val="both"/>
      </w:pPr>
      <w:r>
        <w:rPr>
          <w:spacing w:val="-4"/>
        </w:rPr>
        <w:t>中标人要求变更合同金额超过中标合同金额 </w:t>
      </w:r>
      <w:r>
        <w:rPr>
          <w:rFonts w:ascii="Times New Roman" w:eastAsia="Times New Roman"/>
          <w:spacing w:val="-14"/>
        </w:rPr>
        <w:t>10%</w:t>
      </w:r>
      <w:r>
        <w:rPr>
          <w:spacing w:val="-6"/>
        </w:rPr>
        <w:t>，或者拟分包金额超过招标文件约定分包金额 </w:t>
      </w:r>
      <w:r>
        <w:rPr>
          <w:rFonts w:ascii="Times New Roman" w:eastAsia="Times New Roman"/>
        </w:rPr>
        <w:t>10%</w:t>
      </w:r>
      <w:r>
        <w:rPr>
          <w:spacing w:val="-9"/>
        </w:rPr>
        <w:t>的，招标人要组织力量对履约</w:t>
      </w:r>
      <w:r>
        <w:rPr/>
        <w:t>情况进行全面审核，充分研究论证合同变更的必要性和合规性。</w:t>
      </w:r>
    </w:p>
    <w:p>
      <w:pPr>
        <w:pStyle w:val="BodyText"/>
        <w:spacing w:line="367" w:lineRule="auto"/>
        <w:ind w:right="255" w:firstLine="600"/>
        <w:jc w:val="both"/>
      </w:pPr>
      <w:r>
        <w:rPr>
          <w:spacing w:val="2"/>
        </w:rPr>
        <w:t>第三十三条 中标人不履行与招标人订立的合同的，招标人应</w:t>
      </w:r>
      <w:r>
        <w:rPr>
          <w:spacing w:val="-2"/>
        </w:rPr>
        <w:t>当不予退还履约保证金，并可以依照相关法律法规规定和中标合同</w:t>
      </w:r>
      <w:r>
        <w:rPr/>
        <w:t>约定，追究中标人违约责任。</w:t>
      </w:r>
    </w:p>
    <w:p>
      <w:pPr>
        <w:pStyle w:val="BodyText"/>
        <w:spacing w:line="367" w:lineRule="auto"/>
        <w:ind w:right="255" w:firstLine="600"/>
        <w:jc w:val="both"/>
      </w:pPr>
      <w:r>
        <w:rPr>
          <w:spacing w:val="-3"/>
        </w:rPr>
        <w:t>第三十四条 招标人要加强招标投标资料管理，及时收集、整</w:t>
      </w:r>
      <w:r>
        <w:rPr>
          <w:spacing w:val="-7"/>
        </w:rPr>
        <w:t>理、归档招标投标交易和合同履行过程中产生的各种文件资料和信</w:t>
      </w:r>
      <w:r>
        <w:rPr>
          <w:spacing w:val="-6"/>
        </w:rPr>
        <w:t>息数据，包括招标事项核准文件、招标计划公告、招标公告、招标</w:t>
      </w:r>
      <w:r>
        <w:rPr>
          <w:spacing w:val="-7"/>
        </w:rPr>
        <w:t>文件、招标文件变更内容、投标文件、开标过程记录、评标过程记录、评标报告、评标报告审查材料、定标过程记录、中标结果公平</w:t>
      </w:r>
      <w:r>
        <w:rPr>
          <w:spacing w:val="-6"/>
        </w:rPr>
        <w:t>性自查资料、中标通知书、合同文本、合同变更内容、公示、异议</w:t>
      </w:r>
      <w:r>
        <w:rPr>
          <w:spacing w:val="-4"/>
        </w:rPr>
        <w:t>处理以及其他有关资料，并采取有效措施确保招标投标资料的完整</w:t>
      </w:r>
    </w:p>
    <w:p>
      <w:pPr>
        <w:pStyle w:val="BodyText"/>
        <w:spacing w:line="384" w:lineRule="exact"/>
        <w:jc w:val="both"/>
      </w:pPr>
      <w:r>
        <w:rPr/>
        <w:t>和安全。招标投标资料保存期限不少于 </w:t>
      </w:r>
      <w:r>
        <w:rPr>
          <w:rFonts w:ascii="Times New Roman" w:eastAsia="Times New Roman"/>
        </w:rPr>
        <w:t>15 </w:t>
      </w:r>
      <w:r>
        <w:rPr/>
        <w:t>年。</w:t>
      </w:r>
    </w:p>
    <w:p>
      <w:pPr>
        <w:spacing w:after="0" w:line="384" w:lineRule="exact"/>
        <w:jc w:val="both"/>
        <w:sectPr>
          <w:pgSz w:w="11910" w:h="16840"/>
          <w:pgMar w:header="0" w:footer="1607" w:top="1580" w:bottom="1800" w:left="1500" w:right="1360"/>
        </w:sectPr>
      </w:pPr>
    </w:p>
    <w:p>
      <w:pPr>
        <w:pStyle w:val="BodyText"/>
        <w:ind w:left="0"/>
        <w:rPr>
          <w:sz w:val="20"/>
        </w:rPr>
      </w:pPr>
    </w:p>
    <w:p>
      <w:pPr>
        <w:pStyle w:val="BodyText"/>
        <w:ind w:left="0"/>
        <w:rPr>
          <w:sz w:val="18"/>
        </w:rPr>
      </w:pPr>
    </w:p>
    <w:p>
      <w:pPr>
        <w:pStyle w:val="BodyText"/>
        <w:spacing w:line="367" w:lineRule="auto" w:before="71"/>
        <w:ind w:right="255" w:firstLine="600"/>
        <w:jc w:val="both"/>
      </w:pPr>
      <w:r>
        <w:rPr>
          <w:spacing w:val="-3"/>
        </w:rPr>
        <w:t>第三十五条 招标人可以根据生产经营和合规管理需要，建立</w:t>
      </w:r>
      <w:r>
        <w:rPr>
          <w:spacing w:val="-4"/>
        </w:rPr>
        <w:t>供应商考核评价机制，规范开展考核评价结果应用，督促供应商诚</w:t>
      </w:r>
      <w:r>
        <w:rPr/>
        <w:t>信履行合同。</w:t>
      </w:r>
    </w:p>
    <w:p>
      <w:pPr>
        <w:pStyle w:val="BodyText"/>
        <w:spacing w:line="367" w:lineRule="auto"/>
        <w:ind w:right="228" w:firstLine="600"/>
      </w:pPr>
      <w:r>
        <w:rPr/>
        <w:t>招标人建立供应商考核评价机制的，应当公布考核评价内容， 并在招标文件中作出说明。</w:t>
      </w:r>
    </w:p>
    <w:p>
      <w:pPr>
        <w:pStyle w:val="BodyText"/>
        <w:spacing w:before="8"/>
        <w:ind w:left="0"/>
        <w:rPr>
          <w:sz w:val="45"/>
        </w:rPr>
      </w:pPr>
    </w:p>
    <w:p>
      <w:pPr>
        <w:pStyle w:val="BodyText"/>
        <w:spacing w:before="1"/>
        <w:ind w:left="3252"/>
        <w:jc w:val="both"/>
      </w:pPr>
      <w:bookmarkStart w:name="第七章  监督管理" w:id="7"/>
      <w:bookmarkEnd w:id="7"/>
      <w:r>
        <w:rPr/>
      </w:r>
      <w:r>
        <w:rPr/>
        <w:t>第七章 监督管理</w:t>
      </w:r>
    </w:p>
    <w:p>
      <w:pPr>
        <w:pStyle w:val="BodyText"/>
        <w:spacing w:line="367" w:lineRule="auto" w:before="206"/>
        <w:ind w:right="255" w:firstLine="600"/>
        <w:jc w:val="both"/>
      </w:pPr>
      <w:r>
        <w:rPr>
          <w:spacing w:val="-3"/>
        </w:rPr>
        <w:t>第三十六条 招标人发现投标人、招标代理机构、评标专家存</w:t>
      </w:r>
      <w:r>
        <w:rPr>
          <w:spacing w:val="-4"/>
        </w:rPr>
        <w:t>在下列行为的，除向有关行政监督部门报告外，还应当依法采取措</w:t>
      </w:r>
      <w:r>
        <w:rPr/>
        <w:t>施，维护自身合法权益：</w:t>
      </w:r>
    </w:p>
    <w:p>
      <w:pPr>
        <w:pStyle w:val="BodyText"/>
        <w:spacing w:line="367" w:lineRule="auto"/>
        <w:ind w:right="205" w:firstLine="600"/>
      </w:pPr>
      <w:r>
        <w:rPr/>
        <w:t>（一）投标人通过弄虚作假、相互串通、借用资质等违法手段谋取中标的；</w:t>
      </w:r>
    </w:p>
    <w:p>
      <w:pPr>
        <w:pStyle w:val="BodyText"/>
        <w:spacing w:line="367" w:lineRule="auto"/>
        <w:ind w:right="205" w:firstLine="600"/>
      </w:pPr>
      <w:r>
        <w:rPr/>
        <w:t>（二）招标代理机构违规从事代理业务，或者与投标人、潜在投标人私下接触、相互串通损害招标人权益的；</w:t>
      </w:r>
    </w:p>
    <w:p>
      <w:pPr>
        <w:pStyle w:val="BodyText"/>
        <w:spacing w:line="367" w:lineRule="auto"/>
        <w:ind w:right="205" w:firstLine="600"/>
      </w:pPr>
      <w:r>
        <w:rPr/>
        <w:t>（三）评标专家与招标代理机构、投标人或者其他利害关系人私下接触、相互串通、不客观不公正履行评标职责的。</w:t>
      </w:r>
    </w:p>
    <w:p>
      <w:pPr>
        <w:pStyle w:val="BodyText"/>
        <w:spacing w:line="367" w:lineRule="auto"/>
        <w:ind w:right="255" w:firstLine="600"/>
        <w:jc w:val="both"/>
      </w:pPr>
      <w:r>
        <w:rPr>
          <w:spacing w:val="-2"/>
        </w:rPr>
        <w:t>对于前款第</w:t>
      </w:r>
      <w:r>
        <w:rPr/>
        <w:t>（一</w:t>
      </w:r>
      <w:r>
        <w:rPr>
          <w:spacing w:val="-10"/>
        </w:rPr>
        <w:t>）</w:t>
      </w:r>
      <w:r>
        <w:rPr>
          <w:spacing w:val="-3"/>
        </w:rPr>
        <w:t>项所列情形，招标人应当按照有关规定和招</w:t>
      </w:r>
      <w:r>
        <w:rPr>
          <w:spacing w:val="-2"/>
        </w:rPr>
        <w:t>标文件约定不予退还投标人提交的投标保证金。投标人以保函</w:t>
      </w:r>
      <w:r>
        <w:rPr/>
        <w:t>（</w:t>
      </w:r>
      <w:r>
        <w:rPr>
          <w:spacing w:val="-17"/>
        </w:rPr>
        <w:t>保</w:t>
      </w:r>
      <w:r>
        <w:rPr/>
        <w:t>险</w:t>
      </w:r>
      <w:r>
        <w:rPr>
          <w:spacing w:val="-8"/>
        </w:rPr>
        <w:t>）</w:t>
      </w:r>
      <w:r>
        <w:rPr>
          <w:spacing w:val="-2"/>
        </w:rPr>
        <w:t>方式提交投标保证金的，招标人应当要求该保函</w:t>
      </w:r>
      <w:r>
        <w:rPr/>
        <w:t>（保险</w:t>
      </w:r>
      <w:r>
        <w:rPr>
          <w:spacing w:val="-8"/>
        </w:rPr>
        <w:t>）的开</w:t>
      </w:r>
      <w:r>
        <w:rPr>
          <w:spacing w:val="-2"/>
        </w:rPr>
        <w:t>具机构履行担保义务。对于前款第</w:t>
      </w:r>
      <w:r>
        <w:rPr/>
        <w:t>（二</w:t>
      </w:r>
      <w:r>
        <w:rPr>
          <w:spacing w:val="-8"/>
        </w:rPr>
        <w:t>）</w:t>
      </w:r>
      <w:r>
        <w:rPr>
          <w:spacing w:val="-4"/>
        </w:rPr>
        <w:t>项所列情形，招标人应当</w:t>
      </w:r>
      <w:r>
        <w:rPr>
          <w:spacing w:val="-2"/>
        </w:rPr>
        <w:t>向招标代理机构追究赔偿责任。对于前款第</w:t>
      </w:r>
      <w:r>
        <w:rPr/>
        <w:t>（三</w:t>
      </w:r>
      <w:r>
        <w:rPr>
          <w:spacing w:val="-8"/>
        </w:rPr>
        <w:t>）</w:t>
      </w:r>
      <w:r>
        <w:rPr>
          <w:spacing w:val="-4"/>
        </w:rPr>
        <w:t>项所列情形，招</w:t>
      </w:r>
    </w:p>
    <w:p>
      <w:pPr>
        <w:pStyle w:val="BodyText"/>
        <w:spacing w:line="384" w:lineRule="exact"/>
      </w:pPr>
      <w:r>
        <w:rPr/>
        <w:t>标人应当向评标专家追究赔偿责任。</w:t>
      </w:r>
    </w:p>
    <w:p>
      <w:pPr>
        <w:spacing w:after="0" w:line="384" w:lineRule="exact"/>
        <w:sectPr>
          <w:pgSz w:w="11910" w:h="16840"/>
          <w:pgMar w:header="0" w:footer="1607" w:top="1580" w:bottom="1800" w:left="1500" w:right="1360"/>
        </w:sectPr>
      </w:pPr>
    </w:p>
    <w:p>
      <w:pPr>
        <w:pStyle w:val="BodyText"/>
        <w:ind w:left="0"/>
        <w:rPr>
          <w:sz w:val="20"/>
        </w:rPr>
      </w:pPr>
    </w:p>
    <w:p>
      <w:pPr>
        <w:pStyle w:val="BodyText"/>
        <w:ind w:left="0"/>
        <w:rPr>
          <w:sz w:val="18"/>
        </w:rPr>
      </w:pPr>
    </w:p>
    <w:p>
      <w:pPr>
        <w:pStyle w:val="BodyText"/>
        <w:spacing w:line="367" w:lineRule="auto" w:before="71"/>
        <w:ind w:right="255" w:firstLine="600"/>
        <w:jc w:val="both"/>
      </w:pPr>
      <w:r>
        <w:rPr>
          <w:spacing w:val="-1"/>
        </w:rPr>
        <w:t>第三十七条 招标人要在与中标人签订合同后 </w:t>
      </w:r>
      <w:r>
        <w:rPr>
          <w:rFonts w:ascii="Times New Roman" w:eastAsia="Times New Roman"/>
        </w:rPr>
        <w:t>30 </w:t>
      </w:r>
      <w:r>
        <w:rPr>
          <w:spacing w:val="3"/>
        </w:rPr>
        <w:t>日内，对招</w:t>
      </w:r>
      <w:r>
        <w:rPr>
          <w:spacing w:val="-1"/>
        </w:rPr>
        <w:t>标全过程的科学性和合理性进行后评价，分析招标过程存在的问题</w:t>
      </w:r>
      <w:r>
        <w:rPr/>
        <w:t>不足，并有针对性地采取改进举措。</w:t>
      </w:r>
    </w:p>
    <w:p>
      <w:pPr>
        <w:pStyle w:val="BodyText"/>
        <w:spacing w:line="367" w:lineRule="auto"/>
        <w:ind w:right="105" w:firstLine="600"/>
        <w:jc w:val="both"/>
      </w:pPr>
      <w:r>
        <w:rPr/>
        <w:t>第三十八条  招标人在设置串通投标认定标准、核验中标候选人中标条件过程中，存在排斥限制潜在投标人、违规确定中标人等情形的，由有关行政监督部门按照《中华人民共和国招标投标法》</w:t>
      </w:r>
    </w:p>
    <w:p>
      <w:pPr>
        <w:pStyle w:val="BodyText"/>
        <w:spacing w:line="367" w:lineRule="auto"/>
        <w:ind w:right="205"/>
      </w:pPr>
      <w:r>
        <w:rPr/>
        <w:t>《中华人民共和国招标投标法实施条例》有关规定予以处罚；对投标人造成损失的，依法承担赔偿责任。</w:t>
      </w:r>
    </w:p>
    <w:p>
      <w:pPr>
        <w:pStyle w:val="BodyText"/>
        <w:spacing w:line="367" w:lineRule="auto"/>
        <w:ind w:right="228" w:firstLine="600"/>
        <w:jc w:val="both"/>
      </w:pPr>
      <w:r>
        <w:rPr/>
        <w:t>第三十九条 招标人发现投标人、招标代理机构、评标专家、公共资源交易中心存在违法嫌疑的，要将相关线索向有关行政监督部门报告，并配合行政监督部门开展调查处理。</w:t>
      </w:r>
    </w:p>
    <w:p>
      <w:pPr>
        <w:pStyle w:val="BodyText"/>
        <w:spacing w:line="367" w:lineRule="auto"/>
        <w:ind w:right="255" w:firstLine="600"/>
        <w:jc w:val="both"/>
      </w:pPr>
      <w:r>
        <w:rPr>
          <w:spacing w:val="-3"/>
        </w:rPr>
        <w:t>第四十条 招标人履行主体责任情况，应当作为其上级主管部门实施监督管理的重要内容，并可以作为纪检监察、审计等监督的</w:t>
      </w:r>
      <w:r>
        <w:rPr>
          <w:spacing w:val="-6"/>
        </w:rPr>
        <w:t>参考。国有企业招标人要将主体责任履行情况纳入企业生产经营责</w:t>
      </w:r>
      <w:r>
        <w:rPr/>
        <w:t>任落实情况，主动向国资监管部门报告。</w:t>
      </w:r>
    </w:p>
    <w:p>
      <w:pPr>
        <w:pStyle w:val="BodyText"/>
        <w:spacing w:before="7"/>
        <w:ind w:left="0"/>
        <w:rPr>
          <w:sz w:val="45"/>
        </w:rPr>
      </w:pPr>
    </w:p>
    <w:p>
      <w:pPr>
        <w:pStyle w:val="BodyText"/>
        <w:tabs>
          <w:tab w:pos="4751" w:val="left" w:leader="none"/>
        </w:tabs>
        <w:spacing w:before="1"/>
        <w:ind w:left="3552"/>
      </w:pPr>
      <w:bookmarkStart w:name="第八章  附则" w:id="8"/>
      <w:bookmarkEnd w:id="8"/>
      <w:r>
        <w:rPr/>
      </w:r>
      <w:r>
        <w:rPr/>
        <w:t>第八章</w:t>
        <w:tab/>
        <w:t>附则</w:t>
      </w:r>
    </w:p>
    <w:p>
      <w:pPr>
        <w:pStyle w:val="BodyText"/>
        <w:tabs>
          <w:tab w:pos="2589" w:val="left" w:leader="none"/>
        </w:tabs>
        <w:spacing w:line="367" w:lineRule="auto" w:before="206"/>
        <w:ind w:right="255" w:firstLine="600"/>
      </w:pPr>
      <w:r>
        <w:rPr>
          <w:spacing w:val="9"/>
        </w:rPr>
        <w:t>第</w:t>
      </w:r>
      <w:r>
        <w:rPr>
          <w:spacing w:val="12"/>
        </w:rPr>
        <w:t>四</w:t>
      </w:r>
      <w:r>
        <w:rPr>
          <w:spacing w:val="9"/>
        </w:rPr>
        <w:t>十</w:t>
      </w:r>
      <w:r>
        <w:rPr>
          <w:spacing w:val="12"/>
        </w:rPr>
        <w:t>一</w:t>
      </w:r>
      <w:r>
        <w:rPr/>
        <w:t>条</w:t>
        <w:tab/>
      </w:r>
      <w:r>
        <w:rPr>
          <w:spacing w:val="9"/>
        </w:rPr>
        <w:t>各</w:t>
      </w:r>
      <w:r>
        <w:rPr>
          <w:spacing w:val="12"/>
        </w:rPr>
        <w:t>招</w:t>
      </w:r>
      <w:r>
        <w:rPr>
          <w:spacing w:val="9"/>
        </w:rPr>
        <w:t>标</w:t>
      </w:r>
      <w:r>
        <w:rPr>
          <w:spacing w:val="12"/>
        </w:rPr>
        <w:t>人</w:t>
      </w:r>
      <w:r>
        <w:rPr>
          <w:spacing w:val="9"/>
        </w:rPr>
        <w:t>可以</w:t>
      </w:r>
      <w:r>
        <w:rPr>
          <w:spacing w:val="12"/>
        </w:rPr>
        <w:t>根</w:t>
      </w:r>
      <w:r>
        <w:rPr>
          <w:spacing w:val="9"/>
        </w:rPr>
        <w:t>据</w:t>
      </w:r>
      <w:r>
        <w:rPr>
          <w:spacing w:val="12"/>
        </w:rPr>
        <w:t>本</w:t>
      </w:r>
      <w:r>
        <w:rPr>
          <w:spacing w:val="9"/>
        </w:rPr>
        <w:t>指引</w:t>
      </w:r>
      <w:r>
        <w:rPr>
          <w:spacing w:val="12"/>
        </w:rPr>
        <w:t>，</w:t>
      </w:r>
      <w:r>
        <w:rPr>
          <w:spacing w:val="9"/>
        </w:rPr>
        <w:t>结合</w:t>
      </w:r>
      <w:r>
        <w:rPr>
          <w:spacing w:val="12"/>
        </w:rPr>
        <w:t>本</w:t>
      </w:r>
      <w:r>
        <w:rPr>
          <w:spacing w:val="9"/>
        </w:rPr>
        <w:t>单</w:t>
      </w:r>
      <w:r>
        <w:rPr>
          <w:spacing w:val="12"/>
        </w:rPr>
        <w:t>位</w:t>
      </w:r>
      <w:r>
        <w:rPr>
          <w:spacing w:val="9"/>
        </w:rPr>
        <w:t>具体</w:t>
      </w:r>
      <w:r>
        <w:rPr>
          <w:spacing w:val="-10"/>
        </w:rPr>
        <w:t>情</w:t>
      </w:r>
      <w:r>
        <w:rPr/>
        <w:t>况，制定实施细则。</w:t>
      </w:r>
    </w:p>
    <w:p>
      <w:pPr>
        <w:pStyle w:val="BodyText"/>
        <w:tabs>
          <w:tab w:pos="2515" w:val="left" w:leader="none"/>
        </w:tabs>
        <w:ind w:left="715"/>
      </w:pPr>
      <w:r>
        <w:rPr/>
        <w:t>第四十二条</w:t>
        <w:tab/>
        <w:t>本指引自</w:t>
      </w:r>
      <w:r>
        <w:rPr>
          <w:spacing w:val="-75"/>
        </w:rPr>
        <w:t> </w:t>
      </w:r>
      <w:r>
        <w:rPr>
          <w:rFonts w:ascii="Times New Roman" w:eastAsia="Times New Roman"/>
        </w:rPr>
        <w:t>2026 </w:t>
      </w:r>
      <w:r>
        <w:rPr/>
        <w:t>年</w:t>
      </w:r>
      <w:r>
        <w:rPr>
          <w:spacing w:val="-76"/>
        </w:rPr>
        <w:t> </w:t>
      </w:r>
      <w:r>
        <w:rPr>
          <w:rFonts w:ascii="Times New Roman" w:eastAsia="Times New Roman"/>
        </w:rPr>
        <w:t>1 </w:t>
      </w:r>
      <w:r>
        <w:rPr/>
        <w:t>月</w:t>
      </w:r>
      <w:r>
        <w:rPr>
          <w:spacing w:val="-76"/>
        </w:rPr>
        <w:t> </w:t>
      </w:r>
      <w:r>
        <w:rPr>
          <w:rFonts w:ascii="Times New Roman" w:eastAsia="Times New Roman"/>
        </w:rPr>
        <w:t>1 </w:t>
      </w:r>
      <w:r>
        <w:rPr/>
        <w:t>日起实施。</w:t>
      </w:r>
    </w:p>
    <w:sectPr>
      <w:pgSz w:w="11910" w:h="16840"/>
      <w:pgMar w:header="0" w:footer="1607" w:top="1580" w:bottom="1800" w:left="150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457.399994pt;margin-top:750.569885pt;width:51.1pt;height:17.6pt;mso-position-horizontal-relative:page;mso-position-vertical-relative:page;z-index:-251901952" type="#_x0000_t202" filled="false" stroked="false">
          <v:textbox inset="0,0,0,0">
            <w:txbxContent>
              <w:p>
                <w:pPr>
                  <w:spacing w:line="351" w:lineRule="exact" w:before="0"/>
                  <w:ind w:left="20" w:right="0" w:firstLine="0"/>
                  <w:jc w:val="left"/>
                  <w:rPr>
                    <w:sz w:val="28"/>
                  </w:rPr>
                </w:pPr>
                <w:r>
                  <w:rPr>
                    <w:sz w:val="28"/>
                  </w:rPr>
                  <w:t>— </w:t>
                </w:r>
                <w:r>
                  <w:rPr/>
                  <w:fldChar w:fldCharType="begin"/>
                </w:r>
                <w:r>
                  <w:rPr>
                    <w:rFonts w:ascii="Times New Roman" w:hAnsi="Times New Roman"/>
                    <w:sz w:val="28"/>
                  </w:rPr>
                  <w:instrText> PAGE </w:instrText>
                </w:r>
                <w:r>
                  <w:rPr/>
                  <w:fldChar w:fldCharType="separate"/>
                </w:r>
                <w:r>
                  <w:rPr/>
                  <w:t>1</w:t>
                </w:r>
                <w:r>
                  <w:rPr/>
                  <w:fldChar w:fldCharType="end"/>
                </w:r>
                <w:r>
                  <w:rPr>
                    <w:rFonts w:ascii="Times New Roman" w:hAnsi="Times New Roman"/>
                    <w:sz w:val="28"/>
                  </w:rPr>
                  <w:t> </w:t>
                </w:r>
                <w:r>
                  <w:rPr>
                    <w:sz w:val="2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86.839996pt;margin-top:750.569885pt;width:51pt;height:17.6pt;mso-position-horizontal-relative:page;mso-position-vertical-relative:page;z-index:-251900928" type="#_x0000_t202" filled="false" stroked="false">
          <v:textbox inset="0,0,0,0">
            <w:txbxContent>
              <w:p>
                <w:pPr>
                  <w:spacing w:line="351" w:lineRule="exact" w:before="0"/>
                  <w:ind w:left="20" w:right="0" w:firstLine="0"/>
                  <w:jc w:val="left"/>
                  <w:rPr>
                    <w:sz w:val="28"/>
                  </w:rPr>
                </w:pPr>
                <w:r>
                  <w:rPr>
                    <w:sz w:val="28"/>
                  </w:rPr>
                  <w:t>— </w:t>
                </w:r>
                <w:r>
                  <w:rPr/>
                  <w:fldChar w:fldCharType="begin"/>
                </w:r>
                <w:r>
                  <w:rPr>
                    <w:rFonts w:ascii="Times New Roman" w:hAnsi="Times New Roman"/>
                    <w:sz w:val="28"/>
                  </w:rPr>
                  <w:instrText> PAGE </w:instrText>
                </w:r>
                <w:r>
                  <w:rPr/>
                  <w:fldChar w:fldCharType="separate"/>
                </w:r>
                <w:r>
                  <w:rPr/>
                  <w:t>2</w:t>
                </w:r>
                <w:r>
                  <w:rPr/>
                  <w:fldChar w:fldCharType="end"/>
                </w:r>
                <w:r>
                  <w:rPr>
                    <w:rFonts w:ascii="Times New Roman" w:hAnsi="Times New Roman"/>
                    <w:spacing w:val="68"/>
                    <w:sz w:val="28"/>
                  </w:rPr>
                  <w:t> </w:t>
                </w:r>
                <w:r>
                  <w:rPr>
                    <w:sz w:val="28"/>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86.839996pt;margin-top:750.569885pt;width:58.05pt;height:17.6pt;mso-position-horizontal-relative:page;mso-position-vertical-relative:page;z-index:-251899904" type="#_x0000_t202" filled="false" stroked="false">
          <v:textbox inset="0,0,0,0">
            <w:txbxContent>
              <w:p>
                <w:pPr>
                  <w:spacing w:line="351" w:lineRule="exact" w:before="0"/>
                  <w:ind w:left="20" w:right="0" w:firstLine="0"/>
                  <w:jc w:val="left"/>
                  <w:rPr>
                    <w:sz w:val="28"/>
                  </w:rPr>
                </w:pPr>
                <w:r>
                  <w:rPr>
                    <w:sz w:val="28"/>
                  </w:rPr>
                  <w:t>— </w:t>
                </w:r>
                <w:r>
                  <w:rPr/>
                  <w:fldChar w:fldCharType="begin"/>
                </w:r>
                <w:r>
                  <w:rPr>
                    <w:rFonts w:ascii="Times New Roman" w:hAnsi="Times New Roman"/>
                    <w:sz w:val="28"/>
                  </w:rPr>
                  <w:instrText> PAGE </w:instrText>
                </w:r>
                <w:r>
                  <w:rPr/>
                  <w:fldChar w:fldCharType="separate"/>
                </w:r>
                <w:r>
                  <w:rPr/>
                  <w:t>10</w:t>
                </w:r>
                <w:r>
                  <w:rPr/>
                  <w:fldChar w:fldCharType="end"/>
                </w:r>
                <w:r>
                  <w:rPr>
                    <w:rFonts w:ascii="Times New Roman" w:hAnsi="Times New Roman"/>
                    <w:sz w:val="28"/>
                  </w:rPr>
                  <w:t> </w:t>
                </w:r>
                <w:r>
                  <w:rPr>
                    <w:sz w:val="28"/>
                  </w:rPr>
                  <w: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50.440002pt;margin-top:750.569885pt;width:58.05pt;height:17.6pt;mso-position-horizontal-relative:page;mso-position-vertical-relative:page;z-index:-251898880" type="#_x0000_t202" filled="false" stroked="false">
          <v:textbox inset="0,0,0,0">
            <w:txbxContent>
              <w:p>
                <w:pPr>
                  <w:spacing w:line="351" w:lineRule="exact" w:before="0"/>
                  <w:ind w:left="20" w:right="0" w:firstLine="0"/>
                  <w:jc w:val="left"/>
                  <w:rPr>
                    <w:sz w:val="28"/>
                  </w:rPr>
                </w:pPr>
                <w:r>
                  <w:rPr>
                    <w:sz w:val="28"/>
                  </w:rPr>
                  <w:t>— </w:t>
                </w:r>
                <w:r>
                  <w:rPr/>
                  <w:fldChar w:fldCharType="begin"/>
                </w:r>
                <w:r>
                  <w:rPr>
                    <w:rFonts w:ascii="Times New Roman" w:hAnsi="Times New Roman"/>
                    <w:sz w:val="28"/>
                  </w:rPr>
                  <w:instrText> PAGE </w:instrText>
                </w:r>
                <w:r>
                  <w:rPr/>
                  <w:fldChar w:fldCharType="separate"/>
                </w:r>
                <w:r>
                  <w:rPr/>
                  <w:t>11</w:t>
                </w:r>
                <w:r>
                  <w:rPr/>
                  <w:fldChar w:fldCharType="end"/>
                </w:r>
                <w:r>
                  <w:rPr>
                    <w:rFonts w:ascii="Times New Roman" w:hAnsi="Times New Roman"/>
                    <w:sz w:val="28"/>
                  </w:rPr>
                  <w:t> </w:t>
                </w:r>
                <w:r>
                  <w:rPr>
                    <w:sz w:val="28"/>
                  </w:rPr>
                  <w:t>—</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5"/>
    </w:pPr>
    <w:rPr>
      <w:rFonts w:ascii="宋体" w:hAnsi="宋体" w:eastAsia="宋体" w:cs="宋体"/>
      <w:sz w:val="30"/>
      <w:szCs w:val="30"/>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程建林</dc:creator>
  <dc:title>第一章　总则</dc:title>
  <dcterms:created xsi:type="dcterms:W3CDTF">2026-02-07T02:21:10Z</dcterms:created>
  <dcterms:modified xsi:type="dcterms:W3CDTF">2026-02-07T02:21:10Z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WPS 文字</vt:lpwstr>
  </property>
  <property fmtid="{D5CDD505-2E9C-101B-9397-08002B2CF9AE}" pid="4" name="LastSaved">
    <vt:filetime>2026-02-07T00:00:00Z</vt:filetime>
  </property>
</Properties>
</file>